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F21A" w14:textId="29A0529B" w:rsidR="009C1F22" w:rsidRPr="00BA15B3" w:rsidRDefault="00ED6088" w:rsidP="009C1F22">
      <w:pPr>
        <w:pStyle w:val="Heading1"/>
        <w:jc w:val="center"/>
        <w:rPr>
          <w:b/>
          <w:bCs/>
          <w:color w:val="002060"/>
        </w:rPr>
      </w:pPr>
      <w:r>
        <w:rPr>
          <w:b/>
          <w:bCs/>
          <w:color w:val="002060"/>
        </w:rPr>
        <w:t>TERMS OF REFERENCE</w:t>
      </w:r>
      <w:r w:rsidR="009C1F22" w:rsidRPr="00BA15B3">
        <w:rPr>
          <w:b/>
          <w:bCs/>
          <w:color w:val="002060"/>
        </w:rPr>
        <w:t xml:space="preserve"> (</w:t>
      </w:r>
      <w:r>
        <w:rPr>
          <w:b/>
          <w:bCs/>
          <w:color w:val="002060"/>
        </w:rPr>
        <w:t>ToR</w:t>
      </w:r>
      <w:r w:rsidR="009C1F22" w:rsidRPr="00BA15B3">
        <w:rPr>
          <w:b/>
          <w:bCs/>
          <w:color w:val="002060"/>
        </w:rPr>
        <w:t>)</w:t>
      </w:r>
    </w:p>
    <w:p w14:paraId="54DC8638" w14:textId="77777777" w:rsidR="009C1F22" w:rsidRDefault="009C1F22" w:rsidP="009C1F22">
      <w:pPr>
        <w:pStyle w:val="Title"/>
      </w:pPr>
    </w:p>
    <w:p w14:paraId="2B15E3B8" w14:textId="77777777" w:rsidR="009C1F22" w:rsidRPr="003C7720" w:rsidRDefault="009C1F22" w:rsidP="28FAE5F3">
      <w:pPr>
        <w:pStyle w:val="Heading3"/>
        <w:numPr>
          <w:ilvl w:val="0"/>
          <w:numId w:val="7"/>
        </w:numPr>
        <w:shd w:val="clear" w:color="auto" w:fill="FFFFFF" w:themeFill="background1"/>
        <w:tabs>
          <w:tab w:val="num" w:pos="360"/>
        </w:tabs>
        <w:spacing w:line="276" w:lineRule="auto"/>
        <w:ind w:left="0" w:firstLine="0"/>
        <w:jc w:val="both"/>
        <w:rPr>
          <w:rFonts w:asciiTheme="minorHAnsi" w:hAnsiTheme="minorHAnsi" w:cstheme="minorBidi"/>
          <w:b/>
          <w:bCs/>
          <w:color w:val="002060"/>
        </w:rPr>
      </w:pPr>
      <w:r w:rsidRPr="28FAE5F3">
        <w:rPr>
          <w:rFonts w:asciiTheme="minorHAnsi" w:hAnsiTheme="minorHAnsi" w:cstheme="minorBidi"/>
          <w:b/>
          <w:bCs/>
          <w:color w:val="002060"/>
        </w:rPr>
        <w:t xml:space="preserve">GENERAL INFORMATION </w:t>
      </w:r>
    </w:p>
    <w:p w14:paraId="01CDDE5E" w14:textId="77777777" w:rsidR="009C1F22" w:rsidRPr="00B43E22" w:rsidRDefault="009C1F22" w:rsidP="009C1F22">
      <w:pPr>
        <w:spacing w:after="0"/>
      </w:pPr>
    </w:p>
    <w:p w14:paraId="6444E2A8" w14:textId="2366AC72" w:rsidR="009C1F22" w:rsidRPr="00D87626" w:rsidRDefault="009C1F22" w:rsidP="00D87626">
      <w:pPr>
        <w:shd w:val="clear" w:color="auto" w:fill="FFFFFF" w:themeFill="background1"/>
        <w:spacing w:after="0"/>
        <w:ind w:left="4140" w:hanging="4230"/>
        <w:jc w:val="both"/>
        <w:rPr>
          <w:strike/>
        </w:rPr>
      </w:pPr>
      <w:r w:rsidRPr="28FAE5F3">
        <w:rPr>
          <w:b/>
          <w:bCs/>
          <w:kern w:val="28"/>
          <w:shd w:val="clear" w:color="auto" w:fill="FFFFFF"/>
        </w:rPr>
        <w:t xml:space="preserve"> Services/Work Description:</w:t>
      </w:r>
      <w:r w:rsidRPr="28FAE5F3">
        <w:rPr>
          <w:kern w:val="28"/>
          <w:shd w:val="clear" w:color="auto" w:fill="FFFFFF"/>
        </w:rPr>
        <w:t xml:space="preserve">       </w:t>
      </w:r>
      <w:r w:rsidR="2BDDECD8" w:rsidRPr="28FAE5F3">
        <w:rPr>
          <w:kern w:val="28"/>
          <w:shd w:val="clear" w:color="auto" w:fill="FFFFFF"/>
        </w:rPr>
        <w:t xml:space="preserve">                     </w:t>
      </w:r>
      <w:r w:rsidR="00D87626">
        <w:rPr>
          <w:kern w:val="28"/>
          <w:shd w:val="clear" w:color="auto" w:fill="FFFFFF"/>
        </w:rPr>
        <w:tab/>
      </w:r>
      <w:r w:rsidR="00C327F9" w:rsidRPr="00D87626">
        <w:t>Recruitment of Fund Manage</w:t>
      </w:r>
      <w:r w:rsidR="00222247">
        <w:t>ment F</w:t>
      </w:r>
      <w:r w:rsidR="009A76AA" w:rsidRPr="00D87626">
        <w:t>irm</w:t>
      </w:r>
      <w:r w:rsidR="00222247">
        <w:t xml:space="preserve"> </w:t>
      </w:r>
      <w:r w:rsidR="00035590" w:rsidRPr="00D87626">
        <w:t>for the Enterprise Financing Facility</w:t>
      </w:r>
      <w:r w:rsidR="00035590">
        <w:t xml:space="preserve"> </w:t>
      </w:r>
    </w:p>
    <w:p w14:paraId="0A5B25BE" w14:textId="16E55CF9" w:rsidR="009C1F22" w:rsidRPr="0027024C" w:rsidRDefault="009C1F22" w:rsidP="28FAE5F3">
      <w:pPr>
        <w:shd w:val="clear" w:color="auto" w:fill="FFFFFF" w:themeFill="background1"/>
        <w:spacing w:after="0"/>
        <w:ind w:left="4140" w:hanging="4230"/>
        <w:jc w:val="both"/>
      </w:pPr>
      <w:r w:rsidRPr="28FAE5F3">
        <w:rPr>
          <w:b/>
          <w:bCs/>
          <w:kern w:val="28"/>
          <w:shd w:val="clear" w:color="auto" w:fill="FFFFFF"/>
        </w:rPr>
        <w:t xml:space="preserve"> </w:t>
      </w:r>
    </w:p>
    <w:p w14:paraId="1783C48A" w14:textId="0402258D" w:rsidR="009C1F22" w:rsidRPr="0027024C" w:rsidRDefault="0051609F" w:rsidP="28FAE5F3">
      <w:pPr>
        <w:shd w:val="clear" w:color="auto" w:fill="FFFFFF" w:themeFill="background1"/>
        <w:spacing w:after="0"/>
        <w:ind w:left="4140" w:hanging="4230"/>
        <w:jc w:val="both"/>
      </w:pPr>
      <w:r>
        <w:rPr>
          <w:b/>
          <w:bCs/>
          <w:kern w:val="28"/>
        </w:rPr>
        <w:t xml:space="preserve"> </w:t>
      </w:r>
      <w:r w:rsidR="009C1F22" w:rsidRPr="28FAE5F3">
        <w:rPr>
          <w:b/>
          <w:bCs/>
          <w:kern w:val="28"/>
        </w:rPr>
        <w:t>Project/Program Title:</w:t>
      </w:r>
      <w:r w:rsidR="2036D926" w:rsidRPr="4ECE83F3">
        <w:rPr>
          <w:b/>
          <w:bCs/>
          <w:kern w:val="28"/>
        </w:rPr>
        <w:t xml:space="preserve">                               </w:t>
      </w:r>
      <w:r w:rsidR="40397F63" w:rsidRPr="4ECE83F3">
        <w:rPr>
          <w:b/>
          <w:bCs/>
          <w:kern w:val="28"/>
        </w:rPr>
        <w:t xml:space="preserve">   </w:t>
      </w:r>
      <w:r w:rsidR="399A7D0E" w:rsidRPr="4ECE83F3">
        <w:rPr>
          <w:b/>
          <w:bCs/>
          <w:kern w:val="28"/>
        </w:rPr>
        <w:t xml:space="preserve">       </w:t>
      </w:r>
      <w:r w:rsidR="40397F63" w:rsidRPr="4ECE83F3">
        <w:rPr>
          <w:b/>
          <w:bCs/>
          <w:kern w:val="28"/>
        </w:rPr>
        <w:t xml:space="preserve">  </w:t>
      </w:r>
      <w:r w:rsidR="009C1F22" w:rsidRPr="4ECE83F3">
        <w:rPr>
          <w:kern w:val="28"/>
        </w:rPr>
        <w:t>Innovative</w:t>
      </w:r>
      <w:r w:rsidR="009C1F22" w:rsidRPr="4ECE83F3">
        <w:rPr>
          <w:kern w:val="28"/>
          <w:shd w:val="clear" w:color="auto" w:fill="FFFFFF"/>
        </w:rPr>
        <w:t xml:space="preserve"> and Inclusive Finance for Development</w:t>
      </w:r>
    </w:p>
    <w:p w14:paraId="2C263EA0" w14:textId="4E0AD665" w:rsidR="009C1F22" w:rsidRPr="0027024C" w:rsidRDefault="009C1F22" w:rsidP="28FAE5F3">
      <w:pPr>
        <w:shd w:val="clear" w:color="auto" w:fill="FFFFFF" w:themeFill="background1"/>
        <w:spacing w:after="0"/>
        <w:ind w:left="4140" w:hanging="4230"/>
        <w:jc w:val="both"/>
        <w:rPr>
          <w:kern w:val="28"/>
        </w:rPr>
      </w:pPr>
    </w:p>
    <w:p w14:paraId="3D6108CD" w14:textId="77777777" w:rsidR="00840646" w:rsidRDefault="009C1F22" w:rsidP="28FAE5F3">
      <w:pPr>
        <w:shd w:val="clear" w:color="auto" w:fill="FFFFFF" w:themeFill="background1"/>
        <w:spacing w:after="0"/>
        <w:ind w:left="2880" w:hanging="2880"/>
        <w:jc w:val="both"/>
        <w:rPr>
          <w:b/>
          <w:bCs/>
          <w:kern w:val="28"/>
        </w:rPr>
      </w:pPr>
      <w:r w:rsidRPr="28FAE5F3">
        <w:rPr>
          <w:b/>
          <w:bCs/>
          <w:kern w:val="28"/>
        </w:rPr>
        <w:t>Duty Station:</w:t>
      </w:r>
      <w:r w:rsidR="009647BD">
        <w:rPr>
          <w:b/>
          <w:bCs/>
          <w:kern w:val="28"/>
        </w:rPr>
        <w:t xml:space="preserve">                                            </w:t>
      </w:r>
      <w:r w:rsidRPr="28FAE5F3">
        <w:rPr>
          <w:kern w:val="28"/>
        </w:rPr>
        <w:t xml:space="preserve">              </w:t>
      </w:r>
      <w:r w:rsidR="00840646">
        <w:rPr>
          <w:rFonts w:cstheme="minorHAnsi"/>
          <w:kern w:val="28"/>
        </w:rPr>
        <w:t>Home based – with expected travel to Addis Ababa</w:t>
      </w:r>
      <w:r w:rsidR="00840646" w:rsidRPr="28FAE5F3">
        <w:rPr>
          <w:b/>
          <w:bCs/>
          <w:kern w:val="28"/>
        </w:rPr>
        <w:t xml:space="preserve"> </w:t>
      </w:r>
    </w:p>
    <w:p w14:paraId="1632B018" w14:textId="2FC54126" w:rsidR="009C1F22" w:rsidRPr="0027024C" w:rsidRDefault="009C1F22" w:rsidP="28FAE5F3">
      <w:pPr>
        <w:shd w:val="clear" w:color="auto" w:fill="FFFFFF" w:themeFill="background1"/>
        <w:spacing w:after="0"/>
        <w:ind w:left="2880" w:hanging="2880"/>
        <w:jc w:val="both"/>
        <w:rPr>
          <w:kern w:val="28"/>
          <w:shd w:val="clear" w:color="auto" w:fill="FFFFFF"/>
        </w:rPr>
      </w:pPr>
      <w:r w:rsidRPr="28FAE5F3">
        <w:rPr>
          <w:b/>
          <w:bCs/>
          <w:kern w:val="28"/>
        </w:rPr>
        <w:t>Type of the Contract:</w:t>
      </w:r>
      <w:r w:rsidRPr="008609EA">
        <w:rPr>
          <w:rFonts w:cstheme="minorHAnsi"/>
          <w:b/>
          <w:kern w:val="28"/>
        </w:rPr>
        <w:tab/>
      </w:r>
      <w:r w:rsidRPr="28FAE5F3">
        <w:rPr>
          <w:b/>
          <w:bCs/>
          <w:kern w:val="28"/>
        </w:rPr>
        <w:t xml:space="preserve">                      </w:t>
      </w:r>
      <w:r w:rsidR="004C1321" w:rsidRPr="28FAE5F3">
        <w:rPr>
          <w:b/>
          <w:bCs/>
          <w:kern w:val="28"/>
        </w:rPr>
        <w:t xml:space="preserve"> </w:t>
      </w:r>
      <w:r w:rsidRPr="28FAE5F3">
        <w:rPr>
          <w:b/>
          <w:bCs/>
          <w:kern w:val="28"/>
        </w:rPr>
        <w:t xml:space="preserve"> </w:t>
      </w:r>
      <w:r w:rsidRPr="28FAE5F3">
        <w:rPr>
          <w:kern w:val="28"/>
        </w:rPr>
        <w:t>National or International Firm</w:t>
      </w:r>
    </w:p>
    <w:p w14:paraId="09202C82" w14:textId="29C8C96B" w:rsidR="009C1F22" w:rsidRDefault="009C1F22" w:rsidP="28FAE5F3">
      <w:pPr>
        <w:shd w:val="clear" w:color="auto" w:fill="FFFFFF" w:themeFill="background1"/>
        <w:spacing w:after="0"/>
        <w:ind w:left="2880" w:hanging="2880"/>
        <w:jc w:val="both"/>
        <w:rPr>
          <w:kern w:val="28"/>
          <w:shd w:val="clear" w:color="auto" w:fill="FFFFFF"/>
        </w:rPr>
      </w:pPr>
      <w:r w:rsidRPr="28FAE5F3">
        <w:rPr>
          <w:b/>
          <w:bCs/>
          <w:kern w:val="28"/>
        </w:rPr>
        <w:t>Expected Start Date:</w:t>
      </w:r>
      <w:r w:rsidRPr="28FAE5F3">
        <w:rPr>
          <w:kern w:val="28"/>
          <w:shd w:val="clear" w:color="auto" w:fill="FFFFFF"/>
        </w:rPr>
        <w:t xml:space="preserve">                                            </w:t>
      </w:r>
      <w:r w:rsidR="72375F3F" w:rsidRPr="28FAE5F3">
        <w:rPr>
          <w:kern w:val="28"/>
          <w:shd w:val="clear" w:color="auto" w:fill="FFFFFF"/>
        </w:rPr>
        <w:t xml:space="preserve"> </w:t>
      </w:r>
      <w:r w:rsidR="004C1321" w:rsidRPr="28FAE5F3">
        <w:rPr>
          <w:kern w:val="28"/>
          <w:shd w:val="clear" w:color="auto" w:fill="FFFFFF"/>
        </w:rPr>
        <w:t>Immediately after Signing the Contract</w:t>
      </w:r>
    </w:p>
    <w:p w14:paraId="0793E80C" w14:textId="74AE787C" w:rsidR="009647BD" w:rsidRPr="0027024C" w:rsidRDefault="009647BD" w:rsidP="00F340AF">
      <w:pPr>
        <w:shd w:val="clear" w:color="auto" w:fill="FFFFFF" w:themeFill="background1"/>
        <w:tabs>
          <w:tab w:val="center" w:pos="4680"/>
        </w:tabs>
        <w:spacing w:after="0"/>
        <w:ind w:left="2880" w:hanging="2880"/>
        <w:jc w:val="both"/>
        <w:rPr>
          <w:kern w:val="28"/>
          <w:shd w:val="clear" w:color="auto" w:fill="FFFFFF"/>
        </w:rPr>
      </w:pPr>
      <w:r>
        <w:rPr>
          <w:b/>
          <w:bCs/>
          <w:kern w:val="28"/>
        </w:rPr>
        <w:t xml:space="preserve">Duration of the Assignment:          </w:t>
      </w:r>
      <w:r w:rsidR="00F340AF">
        <w:rPr>
          <w:b/>
          <w:bCs/>
          <w:kern w:val="28"/>
        </w:rPr>
        <w:t xml:space="preserve">                    </w:t>
      </w:r>
      <w:r w:rsidR="00F340AF" w:rsidRPr="009672F1">
        <w:rPr>
          <w:kern w:val="28"/>
        </w:rPr>
        <w:t>4</w:t>
      </w:r>
      <w:r w:rsidR="009A76AA">
        <w:rPr>
          <w:kern w:val="28"/>
        </w:rPr>
        <w:t>-6</w:t>
      </w:r>
      <w:r w:rsidR="00F340AF" w:rsidRPr="009672F1">
        <w:rPr>
          <w:kern w:val="28"/>
        </w:rPr>
        <w:t xml:space="preserve"> months</w:t>
      </w:r>
      <w:r w:rsidR="00F340AF">
        <w:rPr>
          <w:b/>
          <w:bCs/>
          <w:kern w:val="28"/>
        </w:rPr>
        <w:t xml:space="preserve"> </w:t>
      </w:r>
      <w:r w:rsidR="00F340AF">
        <w:rPr>
          <w:b/>
          <w:bCs/>
          <w:kern w:val="28"/>
        </w:rPr>
        <w:tab/>
      </w:r>
    </w:p>
    <w:p w14:paraId="66192898" w14:textId="77777777" w:rsidR="009C1F22" w:rsidRDefault="009C1F22" w:rsidP="00DE66B6">
      <w:pPr>
        <w:jc w:val="center"/>
        <w:rPr>
          <w:b/>
          <w:bCs/>
        </w:rPr>
      </w:pPr>
    </w:p>
    <w:p w14:paraId="4E5244DF" w14:textId="77777777" w:rsidR="000741F2" w:rsidRPr="003C7720" w:rsidRDefault="000741F2" w:rsidP="28FAE5F3">
      <w:pPr>
        <w:pStyle w:val="Heading3"/>
        <w:numPr>
          <w:ilvl w:val="0"/>
          <w:numId w:val="7"/>
        </w:numPr>
        <w:shd w:val="clear" w:color="auto" w:fill="FFFFFF" w:themeFill="background1"/>
        <w:tabs>
          <w:tab w:val="num" w:pos="360"/>
        </w:tabs>
        <w:spacing w:line="276" w:lineRule="auto"/>
        <w:ind w:left="0" w:firstLine="0"/>
        <w:jc w:val="both"/>
        <w:rPr>
          <w:rFonts w:asciiTheme="minorHAnsi" w:hAnsiTheme="minorHAnsi" w:cstheme="minorBidi"/>
          <w:b/>
          <w:bCs/>
          <w:color w:val="002060"/>
        </w:rPr>
      </w:pPr>
      <w:r w:rsidRPr="28FAE5F3">
        <w:rPr>
          <w:rFonts w:asciiTheme="minorHAnsi" w:hAnsiTheme="minorHAnsi" w:cstheme="minorBidi"/>
          <w:b/>
          <w:bCs/>
          <w:color w:val="002060"/>
        </w:rPr>
        <w:t xml:space="preserve">BACKGROUND </w:t>
      </w:r>
    </w:p>
    <w:p w14:paraId="781FF45E" w14:textId="77777777" w:rsidR="00127F78" w:rsidRDefault="00127F78" w:rsidP="00127F78">
      <w:pPr>
        <w:jc w:val="both"/>
      </w:pPr>
    </w:p>
    <w:p w14:paraId="0078E264" w14:textId="77777777" w:rsidR="00127F78" w:rsidRPr="00127F78" w:rsidRDefault="00127F78" w:rsidP="00127F78">
      <w:pPr>
        <w:jc w:val="both"/>
        <w:rPr>
          <w:lang w:val="en-CA"/>
        </w:rPr>
      </w:pPr>
      <w:r w:rsidRPr="00127F78">
        <w:rPr>
          <w:lang w:val="en-AE"/>
        </w:rPr>
        <w:t xml:space="preserve">Over the past two decades, Ethiopia has showcased consistent, rapid, and robust economic expansion, achieving an average growth rate of 10% which has contributed significantly to poverty reduction. </w:t>
      </w:r>
      <w:r w:rsidRPr="00127F78">
        <w:rPr>
          <w:lang w:val="en-CA"/>
        </w:rPr>
        <w:t xml:space="preserve">Small and Medium Enterprises (SMEs) and Startup’s remain the key pillar of strength for the economy, with the potential to create more than 3 million jobs over a 5-year period. </w:t>
      </w:r>
    </w:p>
    <w:p w14:paraId="3891B44D" w14:textId="77777777" w:rsidR="00127F78" w:rsidRPr="00127F78" w:rsidRDefault="00127F78" w:rsidP="00127F78">
      <w:pPr>
        <w:jc w:val="both"/>
        <w:rPr>
          <w:lang w:val="en-AE"/>
        </w:rPr>
      </w:pPr>
      <w:r w:rsidRPr="00127F78">
        <w:rPr>
          <w:lang w:val="en-CA"/>
        </w:rPr>
        <w:t>However, the country’s</w:t>
      </w:r>
      <w:r w:rsidRPr="00127F78">
        <w:rPr>
          <w:lang w:val="en-AE"/>
        </w:rPr>
        <w:t xml:space="preserve"> SME and startup ecosystems remains behind that of neighboring countries and despite having the largest population in East Africa at 122 million, Ethiopia only attracted 16 investments at a total of $46M from 2019 to Q2 2022.</w:t>
      </w:r>
      <w:r w:rsidRPr="00127F78">
        <w:rPr>
          <w:lang w:val="en-CA"/>
        </w:rPr>
        <w:t xml:space="preserve"> Th</w:t>
      </w:r>
      <w:r w:rsidRPr="00127F78">
        <w:rPr>
          <w:lang w:val="en-AE"/>
        </w:rPr>
        <w:t>e growth trajectory of the SME and startup sector faces numerous structural impediments. Among these, access to finance stands out as a predominant hurdle. Ethiopian SMEs and startups, particularly those led by women and youth, face greater credit constraints compared to other enterprises. A recent study posits that the SME finance gap in Ethiopia approximates USD 6.1 billion.</w:t>
      </w:r>
    </w:p>
    <w:p w14:paraId="48BEBAA0" w14:textId="77777777" w:rsidR="00127F78" w:rsidRPr="00127F78" w:rsidRDefault="00127F78" w:rsidP="00127F78">
      <w:pPr>
        <w:jc w:val="both"/>
        <w:rPr>
          <w:lang w:val="en-AE"/>
        </w:rPr>
      </w:pPr>
      <w:r w:rsidRPr="00127F78">
        <w:rPr>
          <w:lang w:val="en-AE"/>
        </w:rPr>
        <w:t>In alignment with the Home-Grown Economic Reform, the Ten-Years Perspective Plan, and the UN Sustainable Development Co-operation Framework (UNSDCF 2020-25), the Country Programme Document (CPD) for the UNDP Ethiopia (2020-25) delineates key areas of intervention for SME development and job creation in Ethiopia. These encompass:</w:t>
      </w:r>
    </w:p>
    <w:p w14:paraId="580A6A75" w14:textId="77777777" w:rsidR="00127F78" w:rsidRPr="00127F78" w:rsidRDefault="00127F78" w:rsidP="00127F78">
      <w:pPr>
        <w:numPr>
          <w:ilvl w:val="0"/>
          <w:numId w:val="31"/>
        </w:numPr>
        <w:jc w:val="both"/>
        <w:rPr>
          <w:lang w:val="en-AE"/>
        </w:rPr>
      </w:pPr>
      <w:r w:rsidRPr="00127F78">
        <w:rPr>
          <w:lang w:val="en-AE"/>
        </w:rPr>
        <w:t>Policy, regulatory frameworks, and institutional architecture.</w:t>
      </w:r>
    </w:p>
    <w:p w14:paraId="22A2FEA5" w14:textId="77777777" w:rsidR="00127F78" w:rsidRPr="00127F78" w:rsidRDefault="00127F78" w:rsidP="00127F78">
      <w:pPr>
        <w:numPr>
          <w:ilvl w:val="0"/>
          <w:numId w:val="31"/>
        </w:numPr>
        <w:jc w:val="both"/>
        <w:rPr>
          <w:lang w:val="en-AE"/>
        </w:rPr>
      </w:pPr>
      <w:r w:rsidRPr="00127F78">
        <w:rPr>
          <w:lang w:val="en-AE"/>
        </w:rPr>
        <w:t>Skill enhancement, training, and knowledge dissemination.</w:t>
      </w:r>
    </w:p>
    <w:p w14:paraId="620FC83F" w14:textId="77777777" w:rsidR="00127F78" w:rsidRPr="00127F78" w:rsidRDefault="00127F78" w:rsidP="00127F78">
      <w:pPr>
        <w:numPr>
          <w:ilvl w:val="0"/>
          <w:numId w:val="31"/>
        </w:numPr>
        <w:jc w:val="both"/>
        <w:rPr>
          <w:lang w:val="en-AE"/>
        </w:rPr>
      </w:pPr>
      <w:r w:rsidRPr="00127F78">
        <w:rPr>
          <w:lang w:val="en-AE"/>
        </w:rPr>
        <w:t>Enterprise evolution and business development services.</w:t>
      </w:r>
    </w:p>
    <w:p w14:paraId="1281FD98" w14:textId="77777777" w:rsidR="00127F78" w:rsidRPr="00127F78" w:rsidRDefault="00127F78" w:rsidP="00127F78">
      <w:pPr>
        <w:numPr>
          <w:ilvl w:val="0"/>
          <w:numId w:val="31"/>
        </w:numPr>
        <w:jc w:val="both"/>
        <w:rPr>
          <w:lang w:val="en-AE"/>
        </w:rPr>
      </w:pPr>
      <w:r w:rsidRPr="00127F78">
        <w:rPr>
          <w:lang w:val="en-AE"/>
        </w:rPr>
        <w:t>Innovative financial mechanisms to mitigate investment risks and offer tailored, affordable financing solutions in line with business needs.</w:t>
      </w:r>
    </w:p>
    <w:p w14:paraId="1FEA687E" w14:textId="77777777" w:rsidR="00127F78" w:rsidRPr="00127F78" w:rsidRDefault="00127F78" w:rsidP="00127F78">
      <w:pPr>
        <w:jc w:val="both"/>
        <w:rPr>
          <w:lang w:val="en-AE"/>
        </w:rPr>
      </w:pPr>
      <w:r w:rsidRPr="00127F78">
        <w:rPr>
          <w:lang w:val="en-AE"/>
        </w:rPr>
        <w:lastRenderedPageBreak/>
        <w:t>The "Inclusive and Innovative Finance for Development" project, a pivotal initiative under UNDP Ethiopia, is dedicated to catalyzing economic advancement, job creation, and enhanced productivity through the expansion of financial inclusion and the fostering of innovation. This project is particularly focused on bridging the significant financial gap that impedes small and medium-sized enterprises (SMEs), with special attention to those spearheaded by women and youth—a demographic critical to achieving inclusive economic development and aligning with the Sustainable Development Goals (SDGs).</w:t>
      </w:r>
    </w:p>
    <w:p w14:paraId="7EB76D0E" w14:textId="77777777" w:rsidR="00127F78" w:rsidRPr="00127F78" w:rsidRDefault="00127F78" w:rsidP="00127F78">
      <w:pPr>
        <w:jc w:val="both"/>
      </w:pPr>
      <w:r w:rsidRPr="631860A9">
        <w:t>Central to this project's execution is the Innovative Finance Lab (IFL), the executing arm responsible for the project's programmatic components. The IFL is strategically positioned to bolster Ethiopia's economic growth trajectory by employing groundbreaking approaches. It is tasked with enhancing capacity building, ensuring financial inclusion through developing a sustainable financing platform and ecosystem, providing technical assistance, and piloting enabling financial mechanisms. These efforts are designed to nurture the growth and prosperity of SMEs and startups, fortifying them as cornerstones of sustainable economic progress. The IFL is composed of the following key entities:</w:t>
      </w:r>
    </w:p>
    <w:p w14:paraId="5DDFB6A2" w14:textId="77777777" w:rsidR="00127F78" w:rsidRPr="00127F78" w:rsidRDefault="00127F78" w:rsidP="00127F78">
      <w:pPr>
        <w:numPr>
          <w:ilvl w:val="0"/>
          <w:numId w:val="32"/>
        </w:numPr>
        <w:jc w:val="both"/>
        <w:rPr>
          <w:lang w:val="en-AE"/>
        </w:rPr>
      </w:pPr>
      <w:r w:rsidRPr="00127F78">
        <w:rPr>
          <w:b/>
          <w:lang w:val="en-AE"/>
        </w:rPr>
        <w:t>The Technical Assistance Facility (TAF)</w:t>
      </w:r>
      <w:r w:rsidRPr="00127F78">
        <w:rPr>
          <w:lang w:val="en-AE"/>
        </w:rPr>
        <w:t>, which is committed to enhancing growth -oriented SME and startup capabilities, ensuring a robust pipeline of projects ready for investment through targeted capacity-building programs.</w:t>
      </w:r>
    </w:p>
    <w:p w14:paraId="6A6E4B20" w14:textId="77777777" w:rsidR="00127F78" w:rsidRPr="00127F78" w:rsidRDefault="00127F78" w:rsidP="00127F78">
      <w:pPr>
        <w:numPr>
          <w:ilvl w:val="0"/>
          <w:numId w:val="32"/>
        </w:numPr>
        <w:jc w:val="both"/>
      </w:pPr>
      <w:r w:rsidRPr="631860A9">
        <w:rPr>
          <w:b/>
        </w:rPr>
        <w:t>The Enterprise Financing Facility (EFF),</w:t>
      </w:r>
      <w:r w:rsidRPr="631860A9">
        <w:t xml:space="preserve"> a mobilizing platform for innovative financial products and services designed to meet the varied needs of SMEs and startups across different stages of growth.</w:t>
      </w:r>
    </w:p>
    <w:p w14:paraId="24450882" w14:textId="77777777" w:rsidR="00127F78" w:rsidRPr="00127F78" w:rsidRDefault="00127F78" w:rsidP="00127F78">
      <w:pPr>
        <w:numPr>
          <w:ilvl w:val="0"/>
          <w:numId w:val="32"/>
        </w:numPr>
        <w:jc w:val="both"/>
        <w:rPr>
          <w:lang w:val="en-AE"/>
        </w:rPr>
      </w:pPr>
      <w:r w:rsidRPr="00127F78">
        <w:rPr>
          <w:b/>
          <w:lang w:val="en-AE"/>
        </w:rPr>
        <w:t>The Knowledge Sharing Unit (KSU),</w:t>
      </w:r>
      <w:r w:rsidRPr="00127F78">
        <w:rPr>
          <w:lang w:val="en-AE"/>
        </w:rPr>
        <w:t xml:space="preserve"> dedicated to fostering a culture of knowledge exchange, policy advocacy, and research, thus paving the way for market-driven innovative finance solutions that support both SMEs and emerging startups.</w:t>
      </w:r>
    </w:p>
    <w:p w14:paraId="07641CB3" w14:textId="77777777" w:rsidR="00127F78" w:rsidRPr="00127F78" w:rsidRDefault="00127F78" w:rsidP="00127F78">
      <w:pPr>
        <w:numPr>
          <w:ilvl w:val="0"/>
          <w:numId w:val="32"/>
        </w:numPr>
        <w:jc w:val="both"/>
        <w:rPr>
          <w:lang w:val="en-AE"/>
        </w:rPr>
      </w:pPr>
      <w:r w:rsidRPr="00127F78">
        <w:rPr>
          <w:b/>
          <w:lang w:val="en-AE"/>
        </w:rPr>
        <w:t>The Regulatory Sandbox Unit (RSU),</w:t>
      </w:r>
      <w:r w:rsidRPr="00127F78">
        <w:rPr>
          <w:lang w:val="en-AE"/>
        </w:rPr>
        <w:t xml:space="preserve"> a structured environment for rigorous testing of innovative financial products and services, which ensures regulatory compliance while encouraging market innovation. This unit is instrumental in setting industry standards and catalyzing financial innovation within the Ethiopian economy.</w:t>
      </w:r>
    </w:p>
    <w:p w14:paraId="26ADBEB8" w14:textId="77777777" w:rsidR="00127F78" w:rsidRPr="00127F78" w:rsidRDefault="00127F78" w:rsidP="00127F78">
      <w:pPr>
        <w:jc w:val="both"/>
      </w:pPr>
      <w:r w:rsidRPr="631860A9">
        <w:t>These components collectively represent the IFL's commitment to driving sustainable growth and economic resilience through strategic financial innovation, inclusivity, and enhanced access to finance for Ethiopia's dynamic business sector.</w:t>
      </w:r>
    </w:p>
    <w:p w14:paraId="6A0DA813" w14:textId="77777777" w:rsidR="00127F78" w:rsidRPr="00D87626" w:rsidRDefault="00127F78" w:rsidP="00127F78">
      <w:pPr>
        <w:jc w:val="both"/>
      </w:pPr>
    </w:p>
    <w:p w14:paraId="633CF6C4" w14:textId="1D3DBDAB" w:rsidR="000741F2" w:rsidRPr="00D87626" w:rsidRDefault="000741F2" w:rsidP="000741F2">
      <w:pPr>
        <w:spacing w:after="0" w:line="276" w:lineRule="auto"/>
        <w:jc w:val="both"/>
        <w:rPr>
          <w:b/>
          <w:bCs/>
        </w:rPr>
      </w:pPr>
      <w:r w:rsidRPr="00D87626">
        <w:rPr>
          <w:b/>
          <w:bCs/>
        </w:rPr>
        <w:t>Technical Assistance Facility (TAF)</w:t>
      </w:r>
    </w:p>
    <w:p w14:paraId="5078C382" w14:textId="77777777" w:rsidR="00CD2AD4" w:rsidRPr="00D87626" w:rsidRDefault="00CD2AD4" w:rsidP="28FAE5F3">
      <w:pPr>
        <w:spacing w:after="0" w:line="276" w:lineRule="auto"/>
        <w:jc w:val="both"/>
      </w:pPr>
    </w:p>
    <w:p w14:paraId="469E59E2" w14:textId="77777777" w:rsidR="00AB5768" w:rsidRPr="00AB5768" w:rsidRDefault="00AB5768" w:rsidP="00AB5768">
      <w:pPr>
        <w:spacing w:after="0" w:line="276" w:lineRule="auto"/>
        <w:jc w:val="both"/>
        <w:rPr>
          <w:lang w:eastAsia="en-GB"/>
        </w:rPr>
      </w:pPr>
      <w:r w:rsidRPr="631860A9">
        <w:rPr>
          <w:lang w:eastAsia="en-GB"/>
        </w:rPr>
        <w:t>The Technical Assistance Facility (TAF) is a cornerstone initiative of the Innovative Finance Lab (IFL), specifically designed to elevate the operational and financial capabilities of Small and Medium Enterprises (SMEs) in Ethiopia. TAF's mission is to build a strong pipeline of investment-ready projects by enhancing the skills and capacities of these enterprises. This preparation is critical in ensuring that these businesses can effectively attract and manage investments.</w:t>
      </w:r>
    </w:p>
    <w:p w14:paraId="43EB04D9" w14:textId="77777777" w:rsidR="00AB5768" w:rsidRPr="00D87626" w:rsidRDefault="00AB5768" w:rsidP="00AB5768">
      <w:pPr>
        <w:spacing w:after="0" w:line="276" w:lineRule="auto"/>
        <w:jc w:val="both"/>
        <w:rPr>
          <w:lang w:val="en-AE" w:eastAsia="en-GB"/>
        </w:rPr>
      </w:pPr>
      <w:r w:rsidRPr="00AB5768">
        <w:rPr>
          <w:lang w:val="en-AE" w:eastAsia="en-GB"/>
        </w:rPr>
        <w:t>TAF is structured to support businesses through two critical phases of their investment lifecycle:</w:t>
      </w:r>
    </w:p>
    <w:p w14:paraId="71295709" w14:textId="77777777" w:rsidR="00AB5768" w:rsidRPr="00AB5768" w:rsidRDefault="00AB5768" w:rsidP="00AB5768">
      <w:pPr>
        <w:spacing w:after="0" w:line="276" w:lineRule="auto"/>
        <w:jc w:val="both"/>
        <w:rPr>
          <w:lang w:val="en-AE" w:eastAsia="en-GB"/>
        </w:rPr>
      </w:pPr>
    </w:p>
    <w:p w14:paraId="2A25D931" w14:textId="77777777" w:rsidR="00AB5768" w:rsidRPr="00AB5768" w:rsidRDefault="00AB5768" w:rsidP="00AB5768">
      <w:pPr>
        <w:numPr>
          <w:ilvl w:val="0"/>
          <w:numId w:val="28"/>
        </w:numPr>
        <w:spacing w:after="0" w:line="276" w:lineRule="auto"/>
        <w:jc w:val="both"/>
        <w:rPr>
          <w:lang w:val="en-AE" w:eastAsia="en-GB"/>
        </w:rPr>
      </w:pPr>
      <w:r w:rsidRPr="00AB5768">
        <w:rPr>
          <w:b/>
          <w:lang w:val="en-AE" w:eastAsia="en-GB"/>
        </w:rPr>
        <w:t>Pre-Investment Technical Assistance:</w:t>
      </w:r>
    </w:p>
    <w:p w14:paraId="0909F6E9" w14:textId="77777777" w:rsidR="00AB5768" w:rsidRPr="00AB5768" w:rsidRDefault="00AB5768" w:rsidP="00AB5768">
      <w:pPr>
        <w:numPr>
          <w:ilvl w:val="1"/>
          <w:numId w:val="28"/>
        </w:numPr>
        <w:spacing w:after="0" w:line="276" w:lineRule="auto"/>
        <w:jc w:val="both"/>
        <w:rPr>
          <w:lang w:val="en-AE" w:eastAsia="en-GB"/>
        </w:rPr>
      </w:pPr>
      <w:r w:rsidRPr="00AB5768">
        <w:rPr>
          <w:b/>
          <w:lang w:val="en-AE" w:eastAsia="en-GB"/>
        </w:rPr>
        <w:t>Objective:</w:t>
      </w:r>
      <w:r w:rsidRPr="00AB5768">
        <w:rPr>
          <w:lang w:val="en-AE" w:eastAsia="en-GB"/>
        </w:rPr>
        <w:t xml:space="preserve"> Equip businesses with the tools needed to become "investment ready."</w:t>
      </w:r>
    </w:p>
    <w:p w14:paraId="5E51EE68" w14:textId="77777777" w:rsidR="00AB5768" w:rsidRPr="00AB5768" w:rsidRDefault="00AB5768" w:rsidP="00AB5768">
      <w:pPr>
        <w:numPr>
          <w:ilvl w:val="1"/>
          <w:numId w:val="28"/>
        </w:numPr>
        <w:spacing w:after="0" w:line="276" w:lineRule="auto"/>
        <w:jc w:val="both"/>
        <w:rPr>
          <w:lang w:eastAsia="en-GB"/>
        </w:rPr>
      </w:pPr>
      <w:r w:rsidRPr="1293A2EB">
        <w:rPr>
          <w:b/>
          <w:lang w:eastAsia="en-GB"/>
        </w:rPr>
        <w:t>Approach:</w:t>
      </w:r>
      <w:r w:rsidRPr="1293A2EB">
        <w:rPr>
          <w:lang w:eastAsia="en-GB"/>
        </w:rPr>
        <w:t xml:space="preserve"> This program aids companies that lack previous investment or bank financing by helping them to develop a comprehensive data room, clarify their growth plans, and solidify their financial projections. Through partnerships with experienced vendors like MDF Global and R&amp;D Group, TAF has already uplifted 100 companies across two cohorts by instilling confidence in their business models and value propositions. This year IFL will be running and managing the TAF program inhouse by onboarding experienced trainers and BDS providers and further strengthening the module and the program. </w:t>
      </w:r>
    </w:p>
    <w:p w14:paraId="0833FA9B" w14:textId="45EC5F85" w:rsidR="00AB5768" w:rsidRPr="00AB5768" w:rsidRDefault="00AB5768" w:rsidP="00AB5768">
      <w:pPr>
        <w:numPr>
          <w:ilvl w:val="0"/>
          <w:numId w:val="28"/>
        </w:numPr>
        <w:spacing w:after="0" w:line="276" w:lineRule="auto"/>
        <w:jc w:val="both"/>
        <w:rPr>
          <w:lang w:val="en-AE" w:eastAsia="en-GB"/>
        </w:rPr>
      </w:pPr>
      <w:r w:rsidRPr="00AB5768">
        <w:rPr>
          <w:b/>
          <w:lang w:val="en-AE" w:eastAsia="en-GB"/>
        </w:rPr>
        <w:t>Post-Investment Technical Assistance:</w:t>
      </w:r>
    </w:p>
    <w:p w14:paraId="5F614DD3" w14:textId="32B0A019" w:rsidR="00AB5768" w:rsidRPr="00B1697F" w:rsidRDefault="00AB5768" w:rsidP="00AB5768">
      <w:pPr>
        <w:numPr>
          <w:ilvl w:val="1"/>
          <w:numId w:val="28"/>
        </w:numPr>
        <w:spacing w:after="0" w:line="276" w:lineRule="auto"/>
        <w:jc w:val="both"/>
        <w:rPr>
          <w:lang w:eastAsia="en-GB"/>
        </w:rPr>
      </w:pPr>
      <w:r w:rsidRPr="00AB5768">
        <w:rPr>
          <w:b/>
          <w:lang w:val="en-AE" w:eastAsia="en-GB"/>
        </w:rPr>
        <w:t>Objective:</w:t>
      </w:r>
      <w:r w:rsidRPr="00AB5768">
        <w:rPr>
          <w:lang w:val="en-AE" w:eastAsia="en-GB"/>
        </w:rPr>
        <w:t xml:space="preserve"> Support companies in leveraging their initial investments for sustainable growth.</w:t>
      </w:r>
    </w:p>
    <w:p w14:paraId="32F37B02" w14:textId="77777777" w:rsidR="00AB5768" w:rsidRPr="00AB5768" w:rsidRDefault="00AB5768" w:rsidP="00AB5768">
      <w:pPr>
        <w:numPr>
          <w:ilvl w:val="1"/>
          <w:numId w:val="28"/>
        </w:numPr>
        <w:spacing w:after="0" w:line="276" w:lineRule="auto"/>
        <w:jc w:val="both"/>
        <w:rPr>
          <w:lang w:eastAsia="en-GB"/>
        </w:rPr>
      </w:pPr>
      <w:r w:rsidRPr="1293A2EB">
        <w:rPr>
          <w:b/>
          <w:lang w:eastAsia="en-GB"/>
        </w:rPr>
        <w:t>Approach:</w:t>
      </w:r>
      <w:r w:rsidRPr="1293A2EB">
        <w:rPr>
          <w:lang w:eastAsia="en-GB"/>
        </w:rPr>
        <w:t xml:space="preserve"> Focuses on businesses that have secured initial funding and need further assistance to scale operations. The assistance includes refining operational efficiencies, updating growth plans, and enhancing financial management practices. Companies will benefit from this phase, by receiving guidance on utilizing their funding effectively to achieve planned growth.</w:t>
      </w:r>
    </w:p>
    <w:p w14:paraId="41C2D005" w14:textId="77777777" w:rsidR="00AB5768" w:rsidRPr="00AB5768" w:rsidRDefault="00AB5768" w:rsidP="00AB5768">
      <w:pPr>
        <w:numPr>
          <w:ilvl w:val="0"/>
          <w:numId w:val="28"/>
        </w:numPr>
        <w:spacing w:after="0" w:line="276" w:lineRule="auto"/>
        <w:jc w:val="both"/>
        <w:rPr>
          <w:b/>
          <w:lang w:val="en-AE" w:eastAsia="en-GB"/>
        </w:rPr>
      </w:pPr>
      <w:r w:rsidRPr="00AB5768">
        <w:rPr>
          <w:b/>
          <w:lang w:val="en-AE" w:eastAsia="en-GB"/>
        </w:rPr>
        <w:t xml:space="preserve">TAF Plus (TAF +) </w:t>
      </w:r>
    </w:p>
    <w:p w14:paraId="69B336EA" w14:textId="77777777" w:rsidR="00AB5768" w:rsidRPr="00AB5768" w:rsidRDefault="00AB5768" w:rsidP="00AB5768">
      <w:pPr>
        <w:numPr>
          <w:ilvl w:val="1"/>
          <w:numId w:val="28"/>
        </w:numPr>
        <w:spacing w:after="0" w:line="276" w:lineRule="auto"/>
        <w:jc w:val="both"/>
        <w:rPr>
          <w:lang w:eastAsia="en-GB"/>
        </w:rPr>
      </w:pPr>
      <w:r w:rsidRPr="1293A2EB">
        <w:rPr>
          <w:b/>
          <w:lang w:eastAsia="en-GB"/>
        </w:rPr>
        <w:t xml:space="preserve">Objective </w:t>
      </w:r>
      <w:r w:rsidRPr="1293A2EB">
        <w:rPr>
          <w:lang w:eastAsia="en-GB"/>
        </w:rPr>
        <w:t xml:space="preserve">– Provide support to companies beyond technical assistance. </w:t>
      </w:r>
    </w:p>
    <w:p w14:paraId="1B4EACD1" w14:textId="77777777" w:rsidR="00AB5768" w:rsidRPr="00AB5768" w:rsidRDefault="00AB5768" w:rsidP="00AB5768">
      <w:pPr>
        <w:numPr>
          <w:ilvl w:val="1"/>
          <w:numId w:val="28"/>
        </w:numPr>
        <w:spacing w:after="0" w:line="276" w:lineRule="auto"/>
        <w:jc w:val="both"/>
        <w:rPr>
          <w:lang w:eastAsia="en-GB"/>
        </w:rPr>
      </w:pPr>
      <w:r w:rsidRPr="1293A2EB">
        <w:rPr>
          <w:b/>
          <w:lang w:eastAsia="en-GB"/>
        </w:rPr>
        <w:t xml:space="preserve">Approach </w:t>
      </w:r>
      <w:r w:rsidRPr="1293A2EB">
        <w:rPr>
          <w:lang w:eastAsia="en-GB"/>
        </w:rPr>
        <w:t xml:space="preserve">– Focuses on business both in the pre and post investment space that require additional support to implement the best practices they have been thought in the training sessions and to execute the growth plans. A team of seasoned experts will be provided as a core resource that will strategically support the junior team at the companies i.e., the companies will be able to receive weekly strategic guidance from seasoned COO’s, CFO’s CMO’s Legal Counsels and the like. This approach will ensure companies get the best talent out there by sharing them amongst themselves and ensuring their internal team is upscaled and strategically guided. </w:t>
      </w:r>
    </w:p>
    <w:p w14:paraId="3448806E" w14:textId="77777777" w:rsidR="00AB5768" w:rsidRPr="00AB5768" w:rsidRDefault="00AB5768" w:rsidP="00AB5768">
      <w:pPr>
        <w:spacing w:after="0" w:line="276" w:lineRule="auto"/>
        <w:jc w:val="both"/>
        <w:rPr>
          <w:b/>
          <w:lang w:val="en-AE" w:eastAsia="en-GB"/>
        </w:rPr>
      </w:pPr>
    </w:p>
    <w:p w14:paraId="5C73BFC5" w14:textId="77777777" w:rsidR="00AB5768" w:rsidRPr="00AB5768" w:rsidRDefault="00AB5768" w:rsidP="00AB5768">
      <w:pPr>
        <w:spacing w:after="0" w:line="276" w:lineRule="auto"/>
        <w:jc w:val="both"/>
        <w:rPr>
          <w:lang w:val="en-AE" w:eastAsia="en-GB"/>
        </w:rPr>
      </w:pPr>
      <w:r w:rsidRPr="00AB5768">
        <w:rPr>
          <w:b/>
          <w:lang w:val="en-AE" w:eastAsia="en-GB"/>
        </w:rPr>
        <w:t>Connecting TAF and the Enterprise Financing Facility (EFF)</w:t>
      </w:r>
      <w:r w:rsidRPr="00AB5768">
        <w:rPr>
          <w:lang w:val="en-AE" w:eastAsia="en-GB"/>
        </w:rPr>
        <w:t xml:space="preserve"> </w:t>
      </w:r>
    </w:p>
    <w:p w14:paraId="5F90D12A" w14:textId="77777777" w:rsidR="00AB5768" w:rsidRPr="00AB5768" w:rsidRDefault="00AB5768" w:rsidP="00AB5768">
      <w:pPr>
        <w:spacing w:after="0" w:line="276" w:lineRule="auto"/>
        <w:jc w:val="both"/>
        <w:rPr>
          <w:lang w:eastAsia="en-GB"/>
        </w:rPr>
      </w:pPr>
      <w:r w:rsidRPr="1293A2EB">
        <w:rPr>
          <w:lang w:eastAsia="en-GB"/>
        </w:rPr>
        <w:t xml:space="preserve">TAF is the supporting arm of the Enterprise Financing Facility (EFF) crucial in minimizing the risks associated with investing in early-stage companies by providing sound propositions and screened pipeline as well as supporting the growth of the companies post investment with post investment TA and TAF plus which will substantially decrease the cost of investing in early-stage companies and SMEs. In addition, TAF will provide TA support to develop the capacity of new and existing fund managers further developing the pipeline for EFF’s FOF operation. </w:t>
      </w:r>
    </w:p>
    <w:p w14:paraId="51B527FA" w14:textId="32B0A019" w:rsidR="00AB5768" w:rsidRPr="00AB5768" w:rsidRDefault="00AB5768" w:rsidP="00AB5768">
      <w:pPr>
        <w:spacing w:after="0" w:line="276" w:lineRule="auto"/>
        <w:jc w:val="both"/>
        <w:rPr>
          <w:lang w:eastAsia="en-GB"/>
        </w:rPr>
      </w:pPr>
      <w:r w:rsidRPr="00AB5768">
        <w:rPr>
          <w:lang w:val="en-AE" w:eastAsia="en-GB"/>
        </w:rPr>
        <w:t xml:space="preserve">EFF also complements the efforts of TAF by mobilizing innovative financial products and services tailored to the diverse needs of growth-stage SMEs. EFF plays a pivotal role in unlocking additional capital from local and regional investors, thereby building a robust private capital market in Ethiopia. The synergy </w:t>
      </w:r>
      <w:r w:rsidRPr="00AB5768">
        <w:rPr>
          <w:lang w:val="en-AE" w:eastAsia="en-GB"/>
        </w:rPr>
        <w:lastRenderedPageBreak/>
        <w:t>between TAF and EFF ensures a seamless transition for SMEs from capacity building to investment acquisition:</w:t>
      </w:r>
    </w:p>
    <w:p w14:paraId="2DCB74FE" w14:textId="77777777" w:rsidR="00AB5768" w:rsidRPr="00AB5768" w:rsidRDefault="00AB5768" w:rsidP="00AB5768">
      <w:pPr>
        <w:numPr>
          <w:ilvl w:val="0"/>
          <w:numId w:val="29"/>
        </w:numPr>
        <w:spacing w:after="0" w:line="276" w:lineRule="auto"/>
        <w:jc w:val="both"/>
        <w:rPr>
          <w:lang w:val="en-AE" w:eastAsia="en-GB"/>
        </w:rPr>
      </w:pPr>
      <w:r w:rsidRPr="00AB5768">
        <w:rPr>
          <w:b/>
          <w:lang w:val="en-AE" w:eastAsia="en-GB"/>
        </w:rPr>
        <w:t>Capacity Building through TAF:</w:t>
      </w:r>
    </w:p>
    <w:p w14:paraId="7153FF93" w14:textId="77777777" w:rsidR="00AB5768" w:rsidRPr="00AB5768" w:rsidRDefault="00AB5768" w:rsidP="00AB5768">
      <w:pPr>
        <w:numPr>
          <w:ilvl w:val="1"/>
          <w:numId w:val="29"/>
        </w:numPr>
        <w:spacing w:after="0" w:line="276" w:lineRule="auto"/>
        <w:jc w:val="both"/>
        <w:rPr>
          <w:lang w:val="en-AE" w:eastAsia="en-GB"/>
        </w:rPr>
      </w:pPr>
      <w:r w:rsidRPr="00AB5768">
        <w:rPr>
          <w:b/>
          <w:lang w:val="en-AE" w:eastAsia="en-GB"/>
        </w:rPr>
        <w:t>Business Planning and Strategy:</w:t>
      </w:r>
      <w:r w:rsidRPr="00AB5768">
        <w:rPr>
          <w:lang w:val="en-AE" w:eastAsia="en-GB"/>
        </w:rPr>
        <w:t xml:space="preserve"> TAF provides SMEs and startups with expert guidance on business planning and strategic decision-making, helping them align their operations with market expectations and investment standards.</w:t>
      </w:r>
    </w:p>
    <w:p w14:paraId="7BDE49C9" w14:textId="5ECFAD61" w:rsidR="00AB5768" w:rsidRPr="00546882" w:rsidRDefault="00AB5768" w:rsidP="00546882">
      <w:pPr>
        <w:numPr>
          <w:ilvl w:val="1"/>
          <w:numId w:val="29"/>
        </w:numPr>
        <w:spacing w:after="0" w:line="276" w:lineRule="auto"/>
        <w:jc w:val="both"/>
        <w:rPr>
          <w:lang w:eastAsia="en-GB"/>
        </w:rPr>
      </w:pPr>
      <w:r w:rsidRPr="1293A2EB">
        <w:rPr>
          <w:b/>
          <w:lang w:eastAsia="en-GB"/>
        </w:rPr>
        <w:t>Financial Literacy and Projections:</w:t>
      </w:r>
      <w:r w:rsidRPr="1293A2EB">
        <w:rPr>
          <w:lang w:eastAsia="en-GB"/>
        </w:rPr>
        <w:t xml:space="preserve"> SMEs and startups receive training on financial management, including creating detailed financial projections and understanding key financial ratios, which are crucial for convincing potential investors of their viability.</w:t>
      </w:r>
    </w:p>
    <w:p w14:paraId="19C19E01" w14:textId="77777777" w:rsidR="00AB5768" w:rsidRPr="00AB5768" w:rsidRDefault="00AB5768" w:rsidP="00AB5768">
      <w:pPr>
        <w:numPr>
          <w:ilvl w:val="1"/>
          <w:numId w:val="29"/>
        </w:numPr>
        <w:spacing w:after="0" w:line="276" w:lineRule="auto"/>
        <w:jc w:val="both"/>
        <w:rPr>
          <w:lang w:val="en-AE" w:eastAsia="en-GB"/>
        </w:rPr>
      </w:pPr>
      <w:r w:rsidRPr="00AB5768">
        <w:rPr>
          <w:b/>
          <w:lang w:val="en-AE" w:eastAsia="en-GB"/>
        </w:rPr>
        <w:t>Governance and Compliance:</w:t>
      </w:r>
      <w:r w:rsidRPr="00AB5768">
        <w:rPr>
          <w:lang w:val="en-AE" w:eastAsia="en-GB"/>
        </w:rPr>
        <w:t xml:space="preserve"> By instilling robust governance practices and ensuring regulatory compliance, TAF prepares SMEs and startups to meet the rigorous standards expected by fund managers and investors.</w:t>
      </w:r>
    </w:p>
    <w:p w14:paraId="33D75B1D" w14:textId="77777777" w:rsidR="00AB5768" w:rsidRPr="00AB5768" w:rsidRDefault="00AB5768" w:rsidP="00AB5768">
      <w:pPr>
        <w:numPr>
          <w:ilvl w:val="0"/>
          <w:numId w:val="30"/>
        </w:numPr>
        <w:spacing w:after="0" w:line="276" w:lineRule="auto"/>
        <w:jc w:val="both"/>
        <w:rPr>
          <w:lang w:val="en-AE" w:eastAsia="en-GB"/>
        </w:rPr>
      </w:pPr>
      <w:r w:rsidRPr="00AB5768">
        <w:rPr>
          <w:b/>
          <w:lang w:val="en-AE" w:eastAsia="en-GB"/>
        </w:rPr>
        <w:t>Investment Readiness Programs:</w:t>
      </w:r>
    </w:p>
    <w:p w14:paraId="67CF3DB3" w14:textId="77777777" w:rsidR="00AB5768" w:rsidRPr="00AB5768" w:rsidRDefault="00AB5768" w:rsidP="00AB5768">
      <w:pPr>
        <w:numPr>
          <w:ilvl w:val="1"/>
          <w:numId w:val="30"/>
        </w:numPr>
        <w:spacing w:after="0" w:line="276" w:lineRule="auto"/>
        <w:jc w:val="both"/>
        <w:rPr>
          <w:lang w:eastAsia="en-GB"/>
        </w:rPr>
      </w:pPr>
      <w:r w:rsidRPr="1293A2EB">
        <w:rPr>
          <w:b/>
          <w:lang w:eastAsia="en-GB"/>
        </w:rPr>
        <w:t>Data Room Preparation:</w:t>
      </w:r>
      <w:r w:rsidRPr="1293A2EB">
        <w:rPr>
          <w:lang w:eastAsia="en-GB"/>
        </w:rPr>
        <w:t xml:space="preserve"> TAF assists companies in assembling a comprehensive data room, a critical element for due diligence processes that investors undertake before committing funds.</w:t>
      </w:r>
    </w:p>
    <w:p w14:paraId="147EF7E3" w14:textId="77777777" w:rsidR="00AB5768" w:rsidRPr="00AB5768" w:rsidRDefault="00AB5768" w:rsidP="00AB5768">
      <w:pPr>
        <w:numPr>
          <w:ilvl w:val="1"/>
          <w:numId w:val="30"/>
        </w:numPr>
        <w:spacing w:after="0" w:line="276" w:lineRule="auto"/>
        <w:jc w:val="both"/>
        <w:rPr>
          <w:lang w:val="en-AE" w:eastAsia="en-GB"/>
        </w:rPr>
      </w:pPr>
      <w:r w:rsidRPr="00AB5768">
        <w:rPr>
          <w:b/>
          <w:lang w:val="en-AE" w:eastAsia="en-GB"/>
        </w:rPr>
        <w:t>Value Proposition Refinement:</w:t>
      </w:r>
      <w:r w:rsidRPr="00AB5768">
        <w:rPr>
          <w:lang w:val="en-AE" w:eastAsia="en-GB"/>
        </w:rPr>
        <w:t xml:space="preserve"> Training programs help refine the value propositions of SMEs, ensuring they communicate their business strengths and market potential effectively to attract investment.</w:t>
      </w:r>
    </w:p>
    <w:p w14:paraId="65F87C9B" w14:textId="77777777" w:rsidR="00AB5768" w:rsidRPr="00AB5768" w:rsidRDefault="00AB5768" w:rsidP="00AB5768">
      <w:pPr>
        <w:spacing w:after="0" w:line="276" w:lineRule="auto"/>
        <w:jc w:val="both"/>
        <w:rPr>
          <w:b/>
          <w:lang w:val="en-AE" w:eastAsia="en-GB"/>
        </w:rPr>
      </w:pPr>
    </w:p>
    <w:p w14:paraId="08D1288B" w14:textId="77777777" w:rsidR="00AB5768" w:rsidRPr="00AB5768" w:rsidRDefault="00AB5768" w:rsidP="00AB5768">
      <w:pPr>
        <w:spacing w:after="0" w:line="276" w:lineRule="auto"/>
        <w:jc w:val="both"/>
        <w:rPr>
          <w:lang w:val="en-AE" w:eastAsia="en-GB"/>
        </w:rPr>
      </w:pPr>
      <w:r w:rsidRPr="00AB5768">
        <w:rPr>
          <w:b/>
          <w:lang w:val="en-AE" w:eastAsia="en-GB"/>
        </w:rPr>
        <w:t>Benefits to Fund Managers:</w:t>
      </w:r>
      <w:r w:rsidRPr="00AB5768">
        <w:rPr>
          <w:lang w:val="en-AE" w:eastAsia="en-GB"/>
        </w:rPr>
        <w:t xml:space="preserve"> </w:t>
      </w:r>
    </w:p>
    <w:p w14:paraId="4A67AA2A" w14:textId="77777777" w:rsidR="00644754" w:rsidRPr="00644754" w:rsidRDefault="00AB5768" w:rsidP="00644754">
      <w:pPr>
        <w:spacing w:after="0" w:line="276" w:lineRule="auto"/>
        <w:jc w:val="both"/>
        <w:rPr>
          <w:lang w:eastAsia="en-GB"/>
        </w:rPr>
      </w:pPr>
      <w:r w:rsidRPr="00AB5768">
        <w:rPr>
          <w:lang w:val="en-AE" w:eastAsia="en-GB"/>
        </w:rPr>
        <w:t>Fund managers benefit from TAF’s rigorous preparation of SMEs and startups as it significantly mitigates the risk associated with investments. The thorough training and capacity building provided by TAF create a portfolio of enterprises that are not only investment-ready but also poised for sustainable growth and long-term profitability.</w:t>
      </w:r>
      <w:r w:rsidR="00644754">
        <w:rPr>
          <w:lang w:eastAsia="en-GB"/>
        </w:rPr>
        <w:t xml:space="preserve"> </w:t>
      </w:r>
      <w:r w:rsidR="00644754" w:rsidRPr="00644754">
        <w:rPr>
          <w:lang w:eastAsia="en-GB"/>
        </w:rPr>
        <w:t xml:space="preserve">To learn more about the program and to access the list of companies under the program, please visit </w:t>
      </w:r>
      <w:hyperlink r:id="rId10" w:tgtFrame="_new" w:history="1">
        <w:r w:rsidR="00644754" w:rsidRPr="00644754">
          <w:rPr>
            <w:rStyle w:val="Hyperlink"/>
            <w:lang w:eastAsia="en-GB"/>
          </w:rPr>
          <w:t xml:space="preserve">The TAF Section on the IFL Website. </w:t>
        </w:r>
      </w:hyperlink>
      <w:r w:rsidR="00644754" w:rsidRPr="00644754">
        <w:rPr>
          <w:lang w:eastAsia="en-GB"/>
        </w:rPr>
        <w:t xml:space="preserve"> </w:t>
      </w:r>
    </w:p>
    <w:p w14:paraId="5B0D14FE" w14:textId="05F7F3EA" w:rsidR="00AB5768" w:rsidRPr="00644754" w:rsidRDefault="00AB5768" w:rsidP="00AB5768">
      <w:pPr>
        <w:spacing w:after="0" w:line="276" w:lineRule="auto"/>
        <w:jc w:val="both"/>
        <w:rPr>
          <w:lang w:eastAsia="en-GB"/>
        </w:rPr>
      </w:pPr>
    </w:p>
    <w:p w14:paraId="1559E3AE" w14:textId="77777777" w:rsidR="00CD2AD4" w:rsidRPr="0088628D" w:rsidRDefault="00CD2AD4" w:rsidP="28FAE5F3">
      <w:pPr>
        <w:spacing w:after="0" w:line="276" w:lineRule="auto"/>
        <w:jc w:val="both"/>
        <w:rPr>
          <w:lang w:eastAsia="en-GB"/>
        </w:rPr>
      </w:pPr>
    </w:p>
    <w:p w14:paraId="55CFEEE1" w14:textId="77777777" w:rsidR="009C1F22" w:rsidRDefault="009C1F22" w:rsidP="00D649C4">
      <w:pPr>
        <w:spacing w:after="0"/>
        <w:rPr>
          <w:b/>
          <w:bCs/>
        </w:rPr>
      </w:pPr>
    </w:p>
    <w:p w14:paraId="6E57C7B2" w14:textId="4C14D854" w:rsidR="0027150E" w:rsidRPr="002E20B9" w:rsidRDefault="005B6D3C" w:rsidP="005B6D3C">
      <w:pPr>
        <w:jc w:val="both"/>
        <w:rPr>
          <w:b/>
          <w:bCs/>
          <w:lang w:val="en-GB"/>
        </w:rPr>
      </w:pPr>
      <w:r w:rsidRPr="003D177A">
        <w:rPr>
          <w:b/>
          <w:bCs/>
          <w:lang w:val="en-GB"/>
        </w:rPr>
        <w:t>Enterprise Financing Facility (EFF)</w:t>
      </w:r>
    </w:p>
    <w:p w14:paraId="4B07E193" w14:textId="77777777" w:rsidR="00356EEA" w:rsidRPr="00356EEA" w:rsidRDefault="00356EEA" w:rsidP="07F42B70">
      <w:pPr>
        <w:jc w:val="both"/>
      </w:pPr>
      <w:r w:rsidRPr="00356EEA">
        <w:t>As a crucial component of the Innovative Finance Lab, the Enterprise Financing Facility (EFF) is a USD 100 million investment facility with an initial lifetime of 15-20 years, subject to design specifications and applicable regulatory requirements. It is designed as a pooled financing mechanism, hosting diversified capital sources from the public sector, development partners, private sector (including individual investors), commercial banks, and other financial and non-financial institutions. The EFF aims to provide a range of alternative and innovative financial products and services to meet the diverse financing needs of growth-stage SMEs and startups while addressing the various risk profiles of investors contributing to the EFF.</w:t>
      </w:r>
    </w:p>
    <w:p w14:paraId="0865AA29" w14:textId="32B0A019" w:rsidR="00356EEA" w:rsidRPr="00356EEA" w:rsidRDefault="00356EEA" w:rsidP="07F42B70">
      <w:pPr>
        <w:jc w:val="both"/>
      </w:pPr>
      <w:r w:rsidRPr="00356EEA">
        <w:t xml:space="preserve">The EFF is the first catalytic capital fund proposed by the IFL secretariat, with its design endorsed by the Advisory Board during its third meeting on November 30, 2023. This initiative is a pioneering effort in the </w:t>
      </w:r>
      <w:r w:rsidRPr="00356EEA">
        <w:lastRenderedPageBreak/>
        <w:t>startup and SME access to finance ecosystem in Ethiopia, aiming to invest in high-risk, high-reward opportunities presented by startups and SMEs. The Fund is expected to operate commercially and will be supported by a technical assistance facility that will develop specific metrics to identify, measure, and report the sustainability and development impact of the projects it invests in.</w:t>
      </w:r>
    </w:p>
    <w:p w14:paraId="3F3D8DA2" w14:textId="77777777" w:rsidR="00356EEA" w:rsidRPr="00356EEA" w:rsidRDefault="00356EEA" w:rsidP="07F42B70">
      <w:pPr>
        <w:jc w:val="both"/>
      </w:pPr>
      <w:r w:rsidRPr="00356EEA">
        <w:t>From 2024 to 2026, the EFF plans to attract approximately USD 100 million in capital from public sources, development finance institutions (DFIs), donors, and the private sector. Over time, the EFF is envisioned to become a flexible channel for attracting and leveraging finance for the development of startups and SMEs in Ethiopia.</w:t>
      </w:r>
    </w:p>
    <w:p w14:paraId="376F562B" w14:textId="77777777" w:rsidR="00356EEA" w:rsidRPr="00356EEA" w:rsidRDefault="00356EEA" w:rsidP="07F42B70">
      <w:pPr>
        <w:jc w:val="both"/>
      </w:pPr>
      <w:r w:rsidRPr="00356EEA">
        <w:t>The EFF aims to implement a comprehensive set of complementary measures to improve access to finance for startups and SMEs in Ethiopia, thereby fostering economic development by creating the necessary conditions for the establishment and growth of innovative and high-potential companies. This project also intends to stimulate the emergence of the private capital market in Ethiopia by developing the venture capital and private equity market, setting the foundations of a capital ecosystem, and disseminating best market practices.</w:t>
      </w:r>
    </w:p>
    <w:p w14:paraId="4549930D" w14:textId="77777777" w:rsidR="00356EEA" w:rsidRPr="00356EEA" w:rsidRDefault="00356EEA" w:rsidP="07F42B70">
      <w:pPr>
        <w:jc w:val="both"/>
        <w:rPr>
          <w:lang w:val="en-AE"/>
        </w:rPr>
      </w:pPr>
      <w:r w:rsidRPr="00356EEA">
        <w:rPr>
          <w:lang w:val="en-AE"/>
        </w:rPr>
        <w:t>To achieve these goals, the EFF is expected to:</w:t>
      </w:r>
    </w:p>
    <w:p w14:paraId="329B34FD" w14:textId="3D90F775" w:rsidR="00356EEA" w:rsidRPr="00356EEA" w:rsidRDefault="00356EEA" w:rsidP="07F42B70">
      <w:pPr>
        <w:numPr>
          <w:ilvl w:val="0"/>
          <w:numId w:val="34"/>
        </w:numPr>
        <w:jc w:val="both"/>
        <w:rPr>
          <w:lang w:val="en-AE"/>
        </w:rPr>
      </w:pPr>
      <w:r w:rsidRPr="00356EEA">
        <w:rPr>
          <w:lang w:val="en-AE"/>
        </w:rPr>
        <w:t>Provide early development and expansion stage financing to innovative startups by deploying targeted financial instruments.</w:t>
      </w:r>
    </w:p>
    <w:p w14:paraId="074C8A88" w14:textId="7D8FAA95" w:rsidR="00356EEA" w:rsidRPr="00356EEA" w:rsidRDefault="00356EEA" w:rsidP="07F42B70">
      <w:pPr>
        <w:numPr>
          <w:ilvl w:val="0"/>
          <w:numId w:val="34"/>
        </w:numPr>
        <w:jc w:val="both"/>
      </w:pPr>
      <w:r w:rsidRPr="00356EEA">
        <w:t>Provide development and expansion capital to established SMEs with high-growth potential in their respective markets.</w:t>
      </w:r>
    </w:p>
    <w:p w14:paraId="1E6B34DC" w14:textId="39C7141E" w:rsidR="00356EEA" w:rsidRPr="00356EEA" w:rsidRDefault="00356EEA" w:rsidP="07F42B70">
      <w:pPr>
        <w:numPr>
          <w:ilvl w:val="0"/>
          <w:numId w:val="34"/>
        </w:numPr>
        <w:jc w:val="both"/>
      </w:pPr>
      <w:r w:rsidRPr="00356EEA">
        <w:t>Offer initial or expansion capital to new and existing fund managers in its second phase of operation as a fund of funds.</w:t>
      </w:r>
    </w:p>
    <w:p w14:paraId="47A2C7B4" w14:textId="77777777" w:rsidR="005306AD" w:rsidRPr="00356EEA" w:rsidRDefault="005306AD" w:rsidP="003E59FF">
      <w:pPr>
        <w:rPr>
          <w:lang w:val="en-AE"/>
        </w:rPr>
      </w:pPr>
    </w:p>
    <w:p w14:paraId="0ADD82C3" w14:textId="6EEE22A4" w:rsidR="007A3729" w:rsidRPr="007A3729" w:rsidRDefault="007A3729" w:rsidP="00B705CD">
      <w:pPr>
        <w:jc w:val="both"/>
        <w:rPr>
          <w:b/>
          <w:bCs/>
        </w:rPr>
      </w:pPr>
      <w:r w:rsidRPr="007A3729">
        <w:rPr>
          <w:b/>
          <w:bCs/>
        </w:rPr>
        <w:t>National Regulatory Sandbox</w:t>
      </w:r>
    </w:p>
    <w:p w14:paraId="3BE4F05C" w14:textId="713C3388" w:rsidR="00B705CD" w:rsidRDefault="00B705CD" w:rsidP="00B705CD">
      <w:pPr>
        <w:jc w:val="both"/>
      </w:pPr>
      <w:r>
        <w:t xml:space="preserve">In its effort towards promoting innovation and creating enabling regulatory environment in the financial sector in Ethiopia, UNDP in collaboration with the National Bank of Ethiopia (NBE) and the Ethiopian Capital Market Authority (ECMA) </w:t>
      </w:r>
      <w:r w:rsidR="008C5DA7">
        <w:t>established the national</w:t>
      </w:r>
      <w:r>
        <w:t xml:space="preserve"> regulatory sandbox in which the testing of financial innovations (products and services), payment systems, disruptive business models and delivery mechanisms can be facilitated under a set of conditions. The current development in the financial market in Ethiopia has necessitated the need for innovation that helps to create access to finance, foster financial inclusion and enhance efficiency of financial services and risk management.</w:t>
      </w:r>
    </w:p>
    <w:p w14:paraId="236B48B0" w14:textId="397D535A" w:rsidR="00B705CD" w:rsidRDefault="00B705CD" w:rsidP="00B705CD">
      <w:pPr>
        <w:jc w:val="both"/>
      </w:pPr>
      <w:r>
        <w:t>The sandbox facilitate</w:t>
      </w:r>
      <w:r w:rsidR="00E7539B">
        <w:t>s</w:t>
      </w:r>
      <w:r>
        <w:t xml:space="preserve"> the piloting of innovative financial services and products by innovators (banks and non-bank financial service providers) to test their products or services as efficiently as possible in a cost-effective and timely manner. Furthermore, the sandbox will enable financial regulators to guide, assess and support innovators in the financial service ecosystem while at the same time </w:t>
      </w:r>
      <w:r w:rsidR="4D6D3549">
        <w:t>providing</w:t>
      </w:r>
      <w:r>
        <w:t xml:space="preserve"> the opportunity to identify appropriate legal and regulatory requirements. </w:t>
      </w:r>
    </w:p>
    <w:p w14:paraId="72C46F5D" w14:textId="765B9BF0" w:rsidR="00ED6088" w:rsidRDefault="00ED6088" w:rsidP="00B705CD">
      <w:pPr>
        <w:jc w:val="both"/>
      </w:pPr>
      <w:r>
        <w:lastRenderedPageBreak/>
        <w:t>The EFF, as the first fund structure/vehicle will also be admitted to the regulatory sandbox to ensure efficient implementation a</w:t>
      </w:r>
      <w:r w:rsidR="2369CED6">
        <w:t>nd</w:t>
      </w:r>
      <w:r>
        <w:t xml:space="preserve"> provide regulators the insights on supportive measures towards facilitating financial innovation.</w:t>
      </w:r>
    </w:p>
    <w:p w14:paraId="78550F28" w14:textId="6E52A93D" w:rsidR="00520AD6" w:rsidRDefault="00632980" w:rsidP="28FAE5F3">
      <w:pPr>
        <w:pStyle w:val="Heading1"/>
        <w:numPr>
          <w:ilvl w:val="0"/>
          <w:numId w:val="7"/>
        </w:numPr>
        <w:tabs>
          <w:tab w:val="num" w:pos="360"/>
        </w:tabs>
        <w:ind w:left="0" w:firstLine="0"/>
        <w:rPr>
          <w:rFonts w:asciiTheme="minorHAnsi" w:hAnsiTheme="minorHAnsi" w:cstheme="minorBidi"/>
          <w:b/>
          <w:bCs/>
          <w:color w:val="002060"/>
          <w:sz w:val="24"/>
          <w:szCs w:val="24"/>
        </w:rPr>
      </w:pPr>
      <w:r w:rsidRPr="28FAE5F3">
        <w:rPr>
          <w:rFonts w:asciiTheme="minorHAnsi" w:hAnsiTheme="minorHAnsi" w:cstheme="minorBidi"/>
          <w:b/>
          <w:bCs/>
          <w:color w:val="002060"/>
          <w:sz w:val="24"/>
          <w:szCs w:val="24"/>
        </w:rPr>
        <w:t xml:space="preserve">OBJECTIVES OF THE </w:t>
      </w:r>
      <w:r w:rsidR="00B364E1">
        <w:rPr>
          <w:rFonts w:asciiTheme="minorHAnsi" w:hAnsiTheme="minorHAnsi" w:cstheme="minorBidi"/>
          <w:b/>
          <w:bCs/>
          <w:color w:val="002060"/>
          <w:sz w:val="24"/>
          <w:szCs w:val="24"/>
        </w:rPr>
        <w:t>ASSIGNMENT</w:t>
      </w:r>
    </w:p>
    <w:p w14:paraId="6A3DAB2F" w14:textId="45EC5F85" w:rsidR="000C39DC" w:rsidRDefault="000C39DC" w:rsidP="00D649C4">
      <w:pPr>
        <w:jc w:val="both"/>
      </w:pPr>
    </w:p>
    <w:p w14:paraId="2D90F360" w14:textId="7BDCC41A" w:rsidR="0021450A" w:rsidRDefault="007A76DF" w:rsidP="007A76DF">
      <w:pPr>
        <w:jc w:val="both"/>
      </w:pPr>
      <w:r w:rsidRPr="007A76DF">
        <w:t>The design of the Enterprise Financing Facility (EFF) has been approved, and the Innovative Finance Lab (IFL) is now seeking to onboard a skilled fund management fir</w:t>
      </w:r>
      <w:r w:rsidR="00F850D5">
        <w:t>m</w:t>
      </w:r>
      <w:r w:rsidRPr="007A76DF">
        <w:t xml:space="preserve">. </w:t>
      </w:r>
    </w:p>
    <w:p w14:paraId="03ED9F16" w14:textId="7E714FEA" w:rsidR="0021682A" w:rsidRPr="00946816" w:rsidRDefault="0021682A" w:rsidP="007A76DF">
      <w:pPr>
        <w:jc w:val="both"/>
        <w:rPr>
          <w:lang w:val="en-AE"/>
        </w:rPr>
      </w:pPr>
      <w:r w:rsidRPr="00ED2BEB">
        <w:rPr>
          <w:lang w:val="en-AE"/>
        </w:rPr>
        <w:t xml:space="preserve">The purpose of this Terms of Reference (TOR) is to select and approve a fund management firm that will establish the EFF as a legal entity and manage its initial setup. </w:t>
      </w:r>
      <w:r w:rsidRPr="02E64C84">
        <w:rPr>
          <w:lang w:val="en-AE"/>
        </w:rPr>
        <w:t xml:space="preserve">This </w:t>
      </w:r>
      <w:r w:rsidR="04B707ED" w:rsidRPr="02E64C84">
        <w:rPr>
          <w:lang w:val="en-AE"/>
        </w:rPr>
        <w:t>specific</w:t>
      </w:r>
      <w:r w:rsidRPr="00ED2BEB">
        <w:rPr>
          <w:lang w:val="en-AE"/>
        </w:rPr>
        <w:t xml:space="preserve"> assignment </w:t>
      </w:r>
      <w:r w:rsidR="738D6D0D">
        <w:t xml:space="preserve">focuses on setting up the fund, including </w:t>
      </w:r>
      <w:r w:rsidRPr="00ED2BEB">
        <w:rPr>
          <w:lang w:val="en-AE"/>
        </w:rPr>
        <w:t xml:space="preserve"> </w:t>
      </w:r>
      <w:r>
        <w:t xml:space="preserve"> establish</w:t>
      </w:r>
      <w:r w:rsidR="68452028">
        <w:t>ing the fund as a legal entity</w:t>
      </w:r>
      <w:r>
        <w:t xml:space="preserve"> and </w:t>
      </w:r>
      <w:r w:rsidR="61BD8B28">
        <w:t xml:space="preserve">obtaining </w:t>
      </w:r>
      <w:r>
        <w:t>the</w:t>
      </w:r>
      <w:r w:rsidR="31BD7C6B">
        <w:t xml:space="preserve"> necessary </w:t>
      </w:r>
      <w:r>
        <w:t xml:space="preserve">regulatory authorizations for the </w:t>
      </w:r>
      <w:r w:rsidRPr="00ED2BEB">
        <w:rPr>
          <w:lang w:val="en-AE"/>
        </w:rPr>
        <w:t xml:space="preserve">fund. Future agreements </w:t>
      </w:r>
      <w:r>
        <w:t xml:space="preserve">between the onboarded fund management firm </w:t>
      </w:r>
      <w:r w:rsidR="003B7977">
        <w:t>and other relevant parties</w:t>
      </w:r>
      <w:r>
        <w:t xml:space="preserve"> will</w:t>
      </w:r>
      <w:r w:rsidRPr="00ED2BEB">
        <w:rPr>
          <w:lang w:val="en-AE"/>
        </w:rPr>
        <w:t xml:space="preserve"> define the terms for capitalization, management, and operationalization of the fund.</w:t>
      </w:r>
    </w:p>
    <w:p w14:paraId="38D6C2BC" w14:textId="77777777" w:rsidR="007A76DF" w:rsidRDefault="007A76DF" w:rsidP="007A76DF">
      <w:pPr>
        <w:jc w:val="both"/>
      </w:pPr>
      <w:r w:rsidRPr="007A76DF">
        <w:t xml:space="preserve">The key objectives of this assignment are as follows: </w:t>
      </w:r>
    </w:p>
    <w:p w14:paraId="3C1C9F77" w14:textId="08F6D5F7" w:rsidR="00ED2BEB" w:rsidRPr="00ED2BEB" w:rsidRDefault="00ED2BEB" w:rsidP="00ED2BEB">
      <w:pPr>
        <w:jc w:val="both"/>
        <w:rPr>
          <w:b/>
          <w:lang w:val="en-AE"/>
        </w:rPr>
      </w:pPr>
      <w:r w:rsidRPr="00ED2BEB">
        <w:rPr>
          <w:b/>
          <w:lang w:val="en-AE"/>
        </w:rPr>
        <w:t xml:space="preserve">Fund </w:t>
      </w:r>
      <w:r w:rsidR="00664193">
        <w:rPr>
          <w:b/>
        </w:rPr>
        <w:t xml:space="preserve">Establishment and </w:t>
      </w:r>
      <w:r w:rsidRPr="00ED2BEB">
        <w:rPr>
          <w:b/>
          <w:lang w:val="en-AE"/>
        </w:rPr>
        <w:t>Setup</w:t>
      </w:r>
    </w:p>
    <w:p w14:paraId="311E797D" w14:textId="77777777" w:rsidR="00ED2BEB" w:rsidRPr="00ED2BEB" w:rsidRDefault="00ED2BEB" w:rsidP="00ED2BEB">
      <w:pPr>
        <w:numPr>
          <w:ilvl w:val="0"/>
          <w:numId w:val="35"/>
        </w:numPr>
        <w:jc w:val="both"/>
        <w:rPr>
          <w:lang w:val="en-AE"/>
        </w:rPr>
      </w:pPr>
      <w:r w:rsidRPr="00ED2BEB">
        <w:rPr>
          <w:b/>
          <w:lang w:val="en-AE"/>
        </w:rPr>
        <w:t>Establishment of the Legal Entity:</w:t>
      </w:r>
    </w:p>
    <w:p w14:paraId="79278168" w14:textId="77777777" w:rsidR="00ED2BEB" w:rsidRPr="00ED2BEB" w:rsidRDefault="00ED2BEB" w:rsidP="00B1697F">
      <w:pPr>
        <w:numPr>
          <w:ilvl w:val="1"/>
          <w:numId w:val="35"/>
        </w:numPr>
        <w:spacing w:after="0"/>
        <w:jc w:val="both"/>
        <w:rPr>
          <w:lang w:val="en-AE"/>
        </w:rPr>
      </w:pPr>
      <w:r w:rsidRPr="00ED2BEB">
        <w:rPr>
          <w:lang w:val="en-AE"/>
        </w:rPr>
        <w:t>Establish the EFF as a legal entity that aligns with the fund's strategic intentions and regulatory requirements.</w:t>
      </w:r>
    </w:p>
    <w:p w14:paraId="7B9C5A2E" w14:textId="45EC5F85" w:rsidR="00ED2BEB" w:rsidRDefault="00ED2BEB" w:rsidP="00B1697F">
      <w:pPr>
        <w:numPr>
          <w:ilvl w:val="1"/>
          <w:numId w:val="35"/>
        </w:numPr>
        <w:spacing w:after="0"/>
        <w:jc w:val="both"/>
        <w:rPr>
          <w:lang w:val="en-AE"/>
        </w:rPr>
      </w:pPr>
      <w:r w:rsidRPr="00ED2BEB">
        <w:rPr>
          <w:lang w:val="en-AE"/>
        </w:rPr>
        <w:t>Ensure the fund's legal framework supports its operational and investment goals.</w:t>
      </w:r>
    </w:p>
    <w:p w14:paraId="29BA0C31" w14:textId="45EC5F85" w:rsidR="00B1697F" w:rsidRPr="00ED2BEB" w:rsidRDefault="00B1697F" w:rsidP="00B1697F">
      <w:pPr>
        <w:spacing w:after="0"/>
        <w:jc w:val="both"/>
        <w:rPr>
          <w:lang w:val="en-AE"/>
        </w:rPr>
      </w:pPr>
    </w:p>
    <w:p w14:paraId="383C8A07" w14:textId="77777777" w:rsidR="00ED2BEB" w:rsidRPr="00ED2BEB" w:rsidRDefault="00ED2BEB" w:rsidP="00B1697F">
      <w:pPr>
        <w:numPr>
          <w:ilvl w:val="0"/>
          <w:numId w:val="35"/>
        </w:numPr>
        <w:spacing w:after="0"/>
        <w:jc w:val="both"/>
        <w:rPr>
          <w:lang w:val="en-AE"/>
        </w:rPr>
      </w:pPr>
      <w:r w:rsidRPr="00ED2BEB">
        <w:rPr>
          <w:b/>
          <w:lang w:val="en-AE"/>
        </w:rPr>
        <w:t>Obtaining a CIS Operator License:</w:t>
      </w:r>
    </w:p>
    <w:p w14:paraId="0587F701" w14:textId="436EF466" w:rsidR="00ED2BEB" w:rsidRPr="00ED2BEB" w:rsidRDefault="00ED2BEB" w:rsidP="00B1697F">
      <w:pPr>
        <w:numPr>
          <w:ilvl w:val="1"/>
          <w:numId w:val="35"/>
        </w:numPr>
        <w:spacing w:after="0"/>
        <w:jc w:val="both"/>
      </w:pPr>
      <w:r w:rsidRPr="00ED2BEB">
        <w:t>Secure a Collective Investment Scheme (CIS) Operator License, which is essential for undertaking regulated capital market service activities.</w:t>
      </w:r>
    </w:p>
    <w:p w14:paraId="4C1B8747" w14:textId="45EC5F85" w:rsidR="00ED2BEB" w:rsidRDefault="00ED2BEB" w:rsidP="00B1697F">
      <w:pPr>
        <w:numPr>
          <w:ilvl w:val="1"/>
          <w:numId w:val="35"/>
        </w:numPr>
        <w:spacing w:after="0"/>
        <w:jc w:val="both"/>
        <w:rPr>
          <w:lang w:val="en-AE"/>
        </w:rPr>
      </w:pPr>
      <w:r w:rsidRPr="00ED2BEB">
        <w:rPr>
          <w:lang w:val="en-AE"/>
        </w:rPr>
        <w:t>Adhere to the eligibility criteria and authorized activities as stipulated by the Ethiopian Capital Market Authority (ECMA).</w:t>
      </w:r>
    </w:p>
    <w:p w14:paraId="36881A54" w14:textId="45EC5F85" w:rsidR="00B1697F" w:rsidRPr="00ED2BEB" w:rsidRDefault="00B1697F" w:rsidP="00B1697F">
      <w:pPr>
        <w:spacing w:after="0"/>
        <w:jc w:val="both"/>
        <w:rPr>
          <w:lang w:val="en-AE"/>
        </w:rPr>
      </w:pPr>
    </w:p>
    <w:p w14:paraId="5721852F" w14:textId="77777777" w:rsidR="00ED2BEB" w:rsidRPr="00ED2BEB" w:rsidRDefault="00ED2BEB" w:rsidP="00B1697F">
      <w:pPr>
        <w:numPr>
          <w:ilvl w:val="0"/>
          <w:numId w:val="35"/>
        </w:numPr>
        <w:spacing w:after="0"/>
        <w:jc w:val="both"/>
        <w:rPr>
          <w:lang w:val="en-AE"/>
        </w:rPr>
      </w:pPr>
      <w:r w:rsidRPr="00ED2BEB">
        <w:rPr>
          <w:b/>
          <w:lang w:val="en-AE"/>
        </w:rPr>
        <w:t>Registration of the Fund with ECMA:</w:t>
      </w:r>
    </w:p>
    <w:p w14:paraId="3BFF4679" w14:textId="77777777" w:rsidR="00ED2BEB" w:rsidRPr="00ED2BEB" w:rsidRDefault="00ED2BEB" w:rsidP="00B1697F">
      <w:pPr>
        <w:numPr>
          <w:ilvl w:val="1"/>
          <w:numId w:val="35"/>
        </w:numPr>
        <w:spacing w:after="0"/>
        <w:jc w:val="both"/>
        <w:rPr>
          <w:lang w:val="en-AE"/>
        </w:rPr>
      </w:pPr>
      <w:r w:rsidRPr="00ED2BEB">
        <w:rPr>
          <w:lang w:val="en-AE"/>
        </w:rPr>
        <w:t>Complete the registration of the EFF with the ECMA, ensuring compliance with all regulatory directives and requirements.</w:t>
      </w:r>
    </w:p>
    <w:p w14:paraId="4B3F6719" w14:textId="45EC5F85" w:rsidR="00ED2BEB" w:rsidRDefault="00ED2BEB" w:rsidP="00B1697F">
      <w:pPr>
        <w:numPr>
          <w:ilvl w:val="1"/>
          <w:numId w:val="35"/>
        </w:numPr>
        <w:spacing w:after="0"/>
        <w:jc w:val="both"/>
        <w:rPr>
          <w:lang w:val="en-AE"/>
        </w:rPr>
      </w:pPr>
      <w:r w:rsidRPr="00ED2BEB">
        <w:rPr>
          <w:lang w:val="en-AE"/>
        </w:rPr>
        <w:t>Follow the necessary steps to register the fund, including appointing a licensed CIS operator and a licensed CIS custodian.</w:t>
      </w:r>
    </w:p>
    <w:p w14:paraId="73095EAE" w14:textId="45EC5F85" w:rsidR="00B1697F" w:rsidRPr="00ED2BEB" w:rsidRDefault="00B1697F" w:rsidP="00B1697F">
      <w:pPr>
        <w:spacing w:after="0"/>
        <w:jc w:val="both"/>
        <w:rPr>
          <w:lang w:val="en-AE"/>
        </w:rPr>
      </w:pPr>
    </w:p>
    <w:p w14:paraId="1F6FFF54" w14:textId="77777777" w:rsidR="007A76DF" w:rsidRPr="00ED2BEB" w:rsidRDefault="007A76DF" w:rsidP="007A76DF">
      <w:pPr>
        <w:jc w:val="both"/>
        <w:rPr>
          <w:lang w:val="en-AE"/>
        </w:rPr>
      </w:pPr>
    </w:p>
    <w:p w14:paraId="28A1FFD4" w14:textId="71A5BA70" w:rsidR="00DE2AC0" w:rsidRDefault="00DE2AC0" w:rsidP="28FAE5F3">
      <w:pPr>
        <w:pStyle w:val="ListParagraph"/>
        <w:numPr>
          <w:ilvl w:val="0"/>
          <w:numId w:val="7"/>
        </w:numPr>
        <w:rPr>
          <w:b/>
          <w:bCs/>
          <w:color w:val="002060"/>
          <w:sz w:val="24"/>
          <w:szCs w:val="24"/>
        </w:rPr>
      </w:pPr>
      <w:r w:rsidRPr="28FAE5F3">
        <w:rPr>
          <w:b/>
          <w:bCs/>
          <w:color w:val="002060"/>
          <w:sz w:val="24"/>
          <w:szCs w:val="24"/>
        </w:rPr>
        <w:t xml:space="preserve">KEY TASKS </w:t>
      </w:r>
    </w:p>
    <w:p w14:paraId="7EC79760" w14:textId="77777777" w:rsidR="004E38C2" w:rsidRDefault="00D12E14" w:rsidP="07F42B70">
      <w:pPr>
        <w:jc w:val="both"/>
      </w:pPr>
      <w:r w:rsidRPr="07F42B70">
        <w:t xml:space="preserve">This assignment seeks to </w:t>
      </w:r>
      <w:r w:rsidR="008B75D3" w:rsidRPr="07F42B70">
        <w:t>onboard a</w:t>
      </w:r>
      <w:r w:rsidR="00A11B73" w:rsidRPr="00A11B73">
        <w:t xml:space="preserve"> fund manage</w:t>
      </w:r>
      <w:r w:rsidR="008B75D3" w:rsidRPr="07F42B70">
        <w:t xml:space="preserve">ment firm </w:t>
      </w:r>
      <w:r w:rsidR="004E38C2" w:rsidRPr="07F42B70">
        <w:t>to</w:t>
      </w:r>
      <w:r w:rsidR="008B75D3" w:rsidRPr="07F42B70">
        <w:t xml:space="preserve"> </w:t>
      </w:r>
      <w:r w:rsidR="00A11B73" w:rsidRPr="00A11B73">
        <w:t>set</w:t>
      </w:r>
      <w:r w:rsidR="004E38C2" w:rsidRPr="07F42B70">
        <w:t>-</w:t>
      </w:r>
      <w:r w:rsidR="00A11B73" w:rsidRPr="00A11B73">
        <w:t xml:space="preserve">up and establish the Enterprise Financing Facility (EFF) and undertake all the necessary legal registration processes based on ECMA jurisdiction and applicable regulations and procedures. </w:t>
      </w:r>
    </w:p>
    <w:p w14:paraId="24ADC9E9" w14:textId="32B0A019" w:rsidR="00D12E14" w:rsidRDefault="00A11B73" w:rsidP="07F42B70">
      <w:pPr>
        <w:jc w:val="both"/>
      </w:pPr>
      <w:r w:rsidRPr="00A11B73">
        <w:lastRenderedPageBreak/>
        <w:t>More specifically, the fund manage</w:t>
      </w:r>
      <w:r w:rsidR="004E38C2">
        <w:t>ment</w:t>
      </w:r>
      <w:r w:rsidRPr="00A11B73">
        <w:t xml:space="preserve"> firm will lead the set-up, legal establishment, corporate governance, and negotiation of the terms of the Fund as a scheme under the jurisdiction of the Ethiopian Capital Market Authority (ECMA) and other competent financial and non-financial sector regulators. </w:t>
      </w:r>
    </w:p>
    <w:p w14:paraId="1730207A" w14:textId="721E1E77" w:rsidR="00A11B73" w:rsidRPr="00A11B73" w:rsidRDefault="00A11B73" w:rsidP="07F42B70">
      <w:pPr>
        <w:jc w:val="both"/>
        <w:rPr>
          <w:lang w:val="en-AE"/>
        </w:rPr>
      </w:pPr>
      <w:r w:rsidRPr="00A11B73">
        <w:rPr>
          <w:lang w:val="en-AE"/>
        </w:rPr>
        <w:t>Once appointed, the fund manage</w:t>
      </w:r>
      <w:r w:rsidR="004E38C2" w:rsidRPr="07F42B70">
        <w:rPr>
          <w:lang w:val="en-AE"/>
        </w:rPr>
        <w:t>ment firm</w:t>
      </w:r>
      <w:r w:rsidRPr="00A11B73">
        <w:rPr>
          <w:lang w:val="en-AE"/>
        </w:rPr>
        <w:t xml:space="preserve"> shall ensure the Fund is set up as an independent entity/scheme that:</w:t>
      </w:r>
    </w:p>
    <w:p w14:paraId="2C5AA8D6" w14:textId="77777777" w:rsidR="00A11B73" w:rsidRPr="00A11B73" w:rsidRDefault="00A11B73" w:rsidP="07F42B70">
      <w:pPr>
        <w:numPr>
          <w:ilvl w:val="0"/>
          <w:numId w:val="37"/>
        </w:numPr>
        <w:spacing w:after="0"/>
        <w:jc w:val="both"/>
        <w:rPr>
          <w:lang w:val="en-AE"/>
        </w:rPr>
      </w:pPr>
      <w:r w:rsidRPr="00A11B73">
        <w:rPr>
          <w:lang w:val="en-AE"/>
        </w:rPr>
        <w:t>Offers reliable and recognized protection to its investors.</w:t>
      </w:r>
    </w:p>
    <w:p w14:paraId="2D0BDC48" w14:textId="77777777" w:rsidR="00A11B73" w:rsidRDefault="00A11B73" w:rsidP="07F42B70">
      <w:pPr>
        <w:numPr>
          <w:ilvl w:val="0"/>
          <w:numId w:val="37"/>
        </w:numPr>
        <w:spacing w:after="0"/>
        <w:jc w:val="both"/>
      </w:pPr>
      <w:r w:rsidRPr="00A11B73">
        <w:t>Is governed by its constitutive documents and relevant agreements between the fund manager, co-financing partners, and additional investors.</w:t>
      </w:r>
    </w:p>
    <w:p w14:paraId="7691B25F" w14:textId="77777777" w:rsidR="004E38C2" w:rsidRPr="00A11B73" w:rsidRDefault="004E38C2" w:rsidP="07F42B70">
      <w:pPr>
        <w:spacing w:after="0"/>
        <w:jc w:val="both"/>
        <w:rPr>
          <w:lang w:val="en-AE"/>
        </w:rPr>
      </w:pPr>
    </w:p>
    <w:p w14:paraId="649226A1" w14:textId="355682D2" w:rsidR="00D810F1" w:rsidRPr="00D810F1" w:rsidRDefault="00D810F1" w:rsidP="07F42B70">
      <w:pPr>
        <w:jc w:val="both"/>
        <w:rPr>
          <w:b/>
          <w:lang w:val="en-AE"/>
        </w:rPr>
      </w:pPr>
      <w:r w:rsidRPr="07F42B70">
        <w:rPr>
          <w:b/>
          <w:lang w:val="en-AE"/>
        </w:rPr>
        <w:t xml:space="preserve">Key Tasks: </w:t>
      </w:r>
    </w:p>
    <w:p w14:paraId="30741682" w14:textId="49E1A02E" w:rsidR="00D810F1" w:rsidRPr="00D810F1" w:rsidRDefault="00D810F1" w:rsidP="003A02B7">
      <w:pPr>
        <w:numPr>
          <w:ilvl w:val="0"/>
          <w:numId w:val="36"/>
        </w:numPr>
        <w:spacing w:after="0"/>
        <w:jc w:val="both"/>
        <w:rPr>
          <w:lang w:val="en-AE"/>
        </w:rPr>
      </w:pPr>
      <w:r w:rsidRPr="00D810F1">
        <w:rPr>
          <w:b/>
          <w:lang w:val="en-AE"/>
        </w:rPr>
        <w:t>Establish the Legal Entity</w:t>
      </w:r>
    </w:p>
    <w:p w14:paraId="7090560F" w14:textId="77777777" w:rsidR="00D810F1" w:rsidRPr="00D810F1" w:rsidRDefault="00D810F1" w:rsidP="07F42B70">
      <w:pPr>
        <w:numPr>
          <w:ilvl w:val="2"/>
          <w:numId w:val="36"/>
        </w:numPr>
        <w:spacing w:after="0"/>
        <w:jc w:val="both"/>
      </w:pPr>
      <w:r w:rsidRPr="00D810F1">
        <w:t>Develop and finalize the legal structure of the EFF.</w:t>
      </w:r>
    </w:p>
    <w:p w14:paraId="6C427FAC" w14:textId="4AFBEACC" w:rsidR="00D810F1" w:rsidRDefault="0E77990B" w:rsidP="07F42B70">
      <w:pPr>
        <w:numPr>
          <w:ilvl w:val="2"/>
          <w:numId w:val="36"/>
        </w:numPr>
        <w:spacing w:after="0"/>
        <w:jc w:val="both"/>
      </w:pPr>
      <w:r>
        <w:t>Undertake all the necessary steps to e</w:t>
      </w:r>
      <w:r w:rsidR="00D810F1">
        <w:t xml:space="preserve">nsure </w:t>
      </w:r>
      <w:r w:rsidR="69B4316A">
        <w:t>that EFF,</w:t>
      </w:r>
      <w:r w:rsidR="00D810F1" w:rsidRPr="00D810F1">
        <w:t xml:space="preserve"> the entity is legally recognized and compliant with Ethiopian laws and regulations</w:t>
      </w:r>
      <w:r w:rsidR="336D5A10">
        <w:t xml:space="preserve"> and that it has obtained the necessary  </w:t>
      </w:r>
      <w:r w:rsidR="004E78A9">
        <w:t>documentation from</w:t>
      </w:r>
      <w:r w:rsidR="00BE1ED9" w:rsidRPr="0F2640EE">
        <w:t xml:space="preserve"> the Ministry of Trade and Industry</w:t>
      </w:r>
      <w:r w:rsidR="004E78A9">
        <w:t xml:space="preserve">. </w:t>
      </w:r>
    </w:p>
    <w:p w14:paraId="325950A5" w14:textId="77777777" w:rsidR="004E78A9" w:rsidRPr="00D810F1" w:rsidRDefault="004E78A9" w:rsidP="07F42B70">
      <w:pPr>
        <w:spacing w:after="0"/>
        <w:jc w:val="both"/>
      </w:pPr>
    </w:p>
    <w:p w14:paraId="4E28DDFF" w14:textId="3D6B6A47" w:rsidR="00D810F1" w:rsidRPr="00D810F1" w:rsidRDefault="6272A645" w:rsidP="003A02B7">
      <w:pPr>
        <w:numPr>
          <w:ilvl w:val="0"/>
          <w:numId w:val="36"/>
        </w:numPr>
        <w:spacing w:after="0"/>
        <w:jc w:val="both"/>
        <w:rPr>
          <w:lang w:val="en-AE"/>
        </w:rPr>
      </w:pPr>
      <w:r w:rsidRPr="41F2B14C">
        <w:rPr>
          <w:b/>
          <w:bCs/>
          <w:lang w:val="en-AE"/>
        </w:rPr>
        <w:t xml:space="preserve">Establish the </w:t>
      </w:r>
      <w:r w:rsidR="00D810F1" w:rsidRPr="00D810F1">
        <w:rPr>
          <w:b/>
          <w:lang w:val="en-AE"/>
        </w:rPr>
        <w:t>Fund Governance</w:t>
      </w:r>
      <w:r w:rsidR="04B39732" w:rsidRPr="41F2B14C">
        <w:rPr>
          <w:b/>
          <w:bCs/>
          <w:lang w:val="en-AE"/>
        </w:rPr>
        <w:t xml:space="preserve"> Framework</w:t>
      </w:r>
    </w:p>
    <w:p w14:paraId="10D96ADD" w14:textId="3126648E" w:rsidR="00D810F1" w:rsidRPr="005F4F5D" w:rsidRDefault="70B7AC29" w:rsidP="07F42B70">
      <w:pPr>
        <w:numPr>
          <w:ilvl w:val="2"/>
          <w:numId w:val="36"/>
        </w:numPr>
        <w:spacing w:after="0"/>
        <w:jc w:val="both"/>
        <w:rPr>
          <w:lang w:val="en-AE"/>
        </w:rPr>
      </w:pPr>
      <w:r w:rsidRPr="41F2B14C">
        <w:rPr>
          <w:lang w:val="en-AE"/>
        </w:rPr>
        <w:t>Develop</w:t>
      </w:r>
      <w:r w:rsidRPr="02E64C84">
        <w:rPr>
          <w:lang w:val="en-AE"/>
        </w:rPr>
        <w:t xml:space="preserve"> the </w:t>
      </w:r>
      <w:r w:rsidR="00D810F1" w:rsidRPr="00D810F1">
        <w:rPr>
          <w:lang w:val="en-AE"/>
        </w:rPr>
        <w:t>governance framework</w:t>
      </w:r>
      <w:r w:rsidR="00DD1158">
        <w:t xml:space="preserve"> for the prudent </w:t>
      </w:r>
      <w:r w:rsidR="00BF570D">
        <w:t xml:space="preserve">and </w:t>
      </w:r>
      <w:r w:rsidR="00704598">
        <w:t>eff</w:t>
      </w:r>
      <w:r w:rsidR="00425E0B">
        <w:t xml:space="preserve">ective management  of  </w:t>
      </w:r>
      <w:r w:rsidR="4B1056A7">
        <w:t>EFF</w:t>
      </w:r>
      <w:r w:rsidR="00E94DD0">
        <w:t>.</w:t>
      </w:r>
    </w:p>
    <w:p w14:paraId="1596D0FD" w14:textId="705233D2" w:rsidR="005F4F5D" w:rsidRPr="00581645" w:rsidRDefault="005F4F5D" w:rsidP="07F42B70">
      <w:pPr>
        <w:numPr>
          <w:ilvl w:val="2"/>
          <w:numId w:val="36"/>
        </w:numPr>
        <w:spacing w:after="0"/>
        <w:jc w:val="both"/>
        <w:rPr>
          <w:lang w:val="en-AE"/>
        </w:rPr>
      </w:pPr>
      <w:r>
        <w:t xml:space="preserve">Establish </w:t>
      </w:r>
      <w:r w:rsidR="00A82521">
        <w:t>appropriate</w:t>
      </w:r>
      <w:r>
        <w:t xml:space="preserve"> </w:t>
      </w:r>
      <w:r w:rsidR="00A82521">
        <w:t>oversight</w:t>
      </w:r>
      <w:r>
        <w:t xml:space="preserve"> mechanisms</w:t>
      </w:r>
      <w:r w:rsidR="34E0494A">
        <w:t xml:space="preserve"> and </w:t>
      </w:r>
      <w:r w:rsidR="314C8259">
        <w:t>the governing</w:t>
      </w:r>
      <w:r>
        <w:t xml:space="preserve"> </w:t>
      </w:r>
      <w:r w:rsidR="57E2EB0A">
        <w:t>the</w:t>
      </w:r>
      <w:r w:rsidR="00A82521">
        <w:t xml:space="preserve"> investment policy, </w:t>
      </w:r>
      <w:r w:rsidR="003A02B7">
        <w:t>objective,</w:t>
      </w:r>
      <w:r w:rsidR="00A82521">
        <w:t xml:space="preserve"> and strategy.</w:t>
      </w:r>
    </w:p>
    <w:p w14:paraId="5FE790CF" w14:textId="77777777" w:rsidR="00581645" w:rsidRPr="00D810F1" w:rsidRDefault="00581645" w:rsidP="00581645">
      <w:pPr>
        <w:spacing w:after="0"/>
        <w:jc w:val="both"/>
        <w:rPr>
          <w:lang w:val="en-AE"/>
        </w:rPr>
      </w:pPr>
    </w:p>
    <w:p w14:paraId="7FE550FC" w14:textId="79852B92" w:rsidR="00D810F1" w:rsidRPr="00D810F1" w:rsidRDefault="76979B7A" w:rsidP="07F42B70">
      <w:pPr>
        <w:numPr>
          <w:ilvl w:val="0"/>
          <w:numId w:val="36"/>
        </w:numPr>
        <w:jc w:val="both"/>
        <w:rPr>
          <w:lang w:val="en-AE"/>
        </w:rPr>
      </w:pPr>
      <w:r w:rsidRPr="41F2B14C">
        <w:rPr>
          <w:b/>
          <w:bCs/>
          <w:lang w:val="en-AE"/>
        </w:rPr>
        <w:t xml:space="preserve">Obtain a </w:t>
      </w:r>
      <w:r w:rsidR="00D810F1" w:rsidRPr="00D810F1">
        <w:rPr>
          <w:b/>
          <w:lang w:val="en-AE"/>
        </w:rPr>
        <w:t xml:space="preserve">CIS Operator License </w:t>
      </w:r>
    </w:p>
    <w:p w14:paraId="252AE21F" w14:textId="2813E788" w:rsidR="00D810F1" w:rsidRPr="00D810F1" w:rsidRDefault="376488C1" w:rsidP="41F2B14C">
      <w:pPr>
        <w:numPr>
          <w:ilvl w:val="2"/>
          <w:numId w:val="36"/>
        </w:numPr>
        <w:spacing w:after="0"/>
        <w:jc w:val="both"/>
      </w:pPr>
      <w:r w:rsidRPr="41F2B14C">
        <w:t>Undertake all the necessary steps to obtain a CIS Operator License from the ECMA</w:t>
      </w:r>
      <w:r w:rsidR="0EFF2116" w:rsidRPr="41F2B14C">
        <w:t>, including</w:t>
      </w:r>
      <w:r w:rsidR="5182D8D6" w:rsidRPr="41F2B14C">
        <w:t xml:space="preserve"> the </w:t>
      </w:r>
      <w:r w:rsidR="0EFF2116" w:rsidRPr="41F2B14C">
        <w:t>commercial registration</w:t>
      </w:r>
      <w:r w:rsidR="756E16BD" w:rsidRPr="41F2B14C">
        <w:t xml:space="preserve"> of CIS Operator</w:t>
      </w:r>
      <w:r w:rsidR="2CB18E33" w:rsidRPr="41F2B14C">
        <w:t>.</w:t>
      </w:r>
    </w:p>
    <w:p w14:paraId="32CC7EC7" w14:textId="466521C1" w:rsidR="00D810F1" w:rsidRPr="00D810F1" w:rsidRDefault="00D810F1" w:rsidP="07F42B70">
      <w:pPr>
        <w:numPr>
          <w:ilvl w:val="2"/>
          <w:numId w:val="36"/>
        </w:numPr>
        <w:spacing w:after="0"/>
        <w:jc w:val="both"/>
      </w:pPr>
      <w:proofErr w:type="gramStart"/>
      <w:r w:rsidRPr="00D810F1">
        <w:t>Submit an application</w:t>
      </w:r>
      <w:proofErr w:type="gramEnd"/>
      <w:r w:rsidRPr="00D810F1">
        <w:t xml:space="preserve"> for a CIS Operator License to ECMA, including necessary documentation and </w:t>
      </w:r>
      <w:r w:rsidR="4324114C">
        <w:t xml:space="preserve">satisfying the competency and the “fit and proper“ criteria </w:t>
      </w:r>
      <w:r w:rsidR="5870EA1D">
        <w:t>set out in the ECMA'</w:t>
      </w:r>
      <w:r w:rsidR="3108CEBB">
        <w:t>s licensing directives.</w:t>
      </w:r>
      <w:r w:rsidR="4324114C">
        <w:t xml:space="preserve"> </w:t>
      </w:r>
      <w:r w:rsidRPr="00D810F1">
        <w:t>.</w:t>
      </w:r>
      <w:r w:rsidR="2D12AF77">
        <w:t xml:space="preserve"> </w:t>
      </w:r>
    </w:p>
    <w:p w14:paraId="4E019F41" w14:textId="77777777" w:rsidR="00FF06AA" w:rsidRPr="00D810F1" w:rsidRDefault="00FF06AA" w:rsidP="07F42B70">
      <w:pPr>
        <w:spacing w:after="0"/>
        <w:jc w:val="both"/>
        <w:rPr>
          <w:lang w:val="en-AE"/>
        </w:rPr>
      </w:pPr>
    </w:p>
    <w:p w14:paraId="6A286F22" w14:textId="30CCC666" w:rsidR="00D810F1" w:rsidRPr="00D810F1" w:rsidRDefault="708BFE96" w:rsidP="003A02B7">
      <w:pPr>
        <w:numPr>
          <w:ilvl w:val="0"/>
          <w:numId w:val="36"/>
        </w:numPr>
        <w:spacing w:after="0"/>
        <w:jc w:val="both"/>
        <w:rPr>
          <w:lang w:val="en-AE"/>
        </w:rPr>
      </w:pPr>
      <w:r w:rsidRPr="41F2B14C">
        <w:rPr>
          <w:b/>
          <w:bCs/>
          <w:lang w:val="en-AE"/>
        </w:rPr>
        <w:t>Preparation of the Fund'</w:t>
      </w:r>
      <w:r w:rsidR="450BEA21" w:rsidRPr="41F2B14C">
        <w:rPr>
          <w:b/>
          <w:bCs/>
          <w:lang w:val="en-AE"/>
        </w:rPr>
        <w:t xml:space="preserve">s </w:t>
      </w:r>
      <w:r w:rsidR="00D810F1" w:rsidRPr="00D810F1">
        <w:rPr>
          <w:b/>
          <w:lang w:val="en-AE"/>
        </w:rPr>
        <w:t>Activities:</w:t>
      </w:r>
    </w:p>
    <w:p w14:paraId="2C3C5933" w14:textId="75ADF541" w:rsidR="00D810F1" w:rsidRPr="00D810F1" w:rsidRDefault="003A02B7" w:rsidP="07F42B70">
      <w:pPr>
        <w:numPr>
          <w:ilvl w:val="2"/>
          <w:numId w:val="36"/>
        </w:numPr>
        <w:spacing w:after="0"/>
        <w:jc w:val="both"/>
      </w:pPr>
      <w:r>
        <w:t>Organize, prepare</w:t>
      </w:r>
      <w:r w:rsidR="7C2AEB34">
        <w:t xml:space="preserve"> </w:t>
      </w:r>
      <w:r w:rsidR="34EC5CB7">
        <w:t xml:space="preserve">and document </w:t>
      </w:r>
      <w:r w:rsidR="7C2AEB34">
        <w:t xml:space="preserve">the </w:t>
      </w:r>
      <w:r w:rsidR="4E9EAF2A">
        <w:t xml:space="preserve">framework for </w:t>
      </w:r>
      <w:r w:rsidR="00D810F1">
        <w:t>manag</w:t>
      </w:r>
      <w:r w:rsidR="6C6A0A1D">
        <w:t xml:space="preserve">ing and operating </w:t>
      </w:r>
      <w:r w:rsidR="00D810F1">
        <w:t xml:space="preserve"> the</w:t>
      </w:r>
      <w:r w:rsidR="5CCBD6A5">
        <w:t xml:space="preserve"> activities of</w:t>
      </w:r>
      <w:r w:rsidR="00D810F1">
        <w:t xml:space="preserve"> EFF</w:t>
      </w:r>
      <w:r w:rsidR="7D436BCF">
        <w:t xml:space="preserve">, including </w:t>
      </w:r>
      <w:r w:rsidR="7B880D8A">
        <w:t>the developing the policies and procedures</w:t>
      </w:r>
      <w:r w:rsidR="4DA9F8C3">
        <w:t xml:space="preserve"> for such activities</w:t>
      </w:r>
      <w:r w:rsidR="7B880D8A">
        <w:t xml:space="preserve">, </w:t>
      </w:r>
      <w:r w:rsidR="00D810F1">
        <w:t>.</w:t>
      </w:r>
    </w:p>
    <w:p w14:paraId="2236B7F2" w14:textId="24B9B90D" w:rsidR="00D810F1" w:rsidRPr="00D810F1" w:rsidRDefault="3DA7D8FF" w:rsidP="07F42B70">
      <w:pPr>
        <w:numPr>
          <w:ilvl w:val="2"/>
          <w:numId w:val="36"/>
        </w:numPr>
        <w:spacing w:after="0"/>
        <w:jc w:val="both"/>
      </w:pPr>
      <w:r>
        <w:t>Key requirements include</w:t>
      </w:r>
      <w:r w:rsidR="361B1A9A">
        <w:t xml:space="preserve"> </w:t>
      </w:r>
      <w:r w:rsidR="14438ABD">
        <w:t xml:space="preserve">establishing appropriate </w:t>
      </w:r>
      <w:r w:rsidR="0FAAE3E6">
        <w:t>risk management</w:t>
      </w:r>
      <w:r w:rsidR="649BB6F4">
        <w:t xml:space="preserve"> mechanisms</w:t>
      </w:r>
      <w:r w:rsidR="0B7064D6">
        <w:t xml:space="preserve"> for the fund</w:t>
      </w:r>
      <w:r w:rsidR="1B1B865E">
        <w:t>, mechanisms to review the performanc</w:t>
      </w:r>
      <w:r w:rsidR="577C82FA">
        <w:t>e of the fund</w:t>
      </w:r>
      <w:r w:rsidR="0B7064D6">
        <w:t xml:space="preserve"> and </w:t>
      </w:r>
      <w:r w:rsidR="51DCC2E9">
        <w:t>frameworks for the preparing and providing timely</w:t>
      </w:r>
      <w:r w:rsidR="272A2371">
        <w:t xml:space="preserve"> investor disclosures</w:t>
      </w:r>
      <w:r w:rsidR="21652CD5">
        <w:t xml:space="preserve">. </w:t>
      </w:r>
      <w:r w:rsidR="0FAAE3E6">
        <w:t xml:space="preserve"> </w:t>
      </w:r>
    </w:p>
    <w:p w14:paraId="1E26C71F" w14:textId="0DAF5506" w:rsidR="5795C14F" w:rsidRDefault="5795C14F" w:rsidP="5795C14F">
      <w:pPr>
        <w:numPr>
          <w:ilvl w:val="2"/>
          <w:numId w:val="36"/>
        </w:numPr>
        <w:spacing w:after="0"/>
        <w:jc w:val="both"/>
      </w:pPr>
    </w:p>
    <w:p w14:paraId="5976B2AC" w14:textId="7975FB0D" w:rsidR="00FF06AA" w:rsidRDefault="40AF3B2B" w:rsidP="07F42B70">
      <w:pPr>
        <w:spacing w:after="0"/>
        <w:jc w:val="both"/>
      </w:pPr>
      <w:r>
        <w:t xml:space="preserve">The </w:t>
      </w:r>
      <w:r w:rsidR="27868275">
        <w:t xml:space="preserve">processes, procedures, and any other </w:t>
      </w:r>
      <w:r>
        <w:t xml:space="preserve">arrangements for </w:t>
      </w:r>
      <w:r w:rsidR="4778D610">
        <w:t>the management and operation of the EFF sh</w:t>
      </w:r>
      <w:r w:rsidR="3A293FE9">
        <w:t xml:space="preserve">all align with international best practice and </w:t>
      </w:r>
      <w:r w:rsidR="3C23E5A3">
        <w:t xml:space="preserve">the regulatory requirements in Ethiopia. </w:t>
      </w:r>
    </w:p>
    <w:p w14:paraId="5EF1F4D4" w14:textId="77777777" w:rsidR="00DD1681" w:rsidRPr="00D810F1" w:rsidRDefault="00DD1681" w:rsidP="07F42B70">
      <w:pPr>
        <w:spacing w:after="0"/>
        <w:jc w:val="both"/>
        <w:rPr>
          <w:lang w:val="en-AE"/>
        </w:rPr>
      </w:pPr>
    </w:p>
    <w:p w14:paraId="283B7E28" w14:textId="3E2D1E1B" w:rsidR="00D810F1" w:rsidRPr="00D810F1" w:rsidRDefault="00D810F1" w:rsidP="07F42B70">
      <w:pPr>
        <w:numPr>
          <w:ilvl w:val="0"/>
          <w:numId w:val="36"/>
        </w:numPr>
        <w:jc w:val="both"/>
        <w:rPr>
          <w:lang w:val="en-AE"/>
        </w:rPr>
      </w:pPr>
      <w:r w:rsidRPr="00D810F1">
        <w:rPr>
          <w:b/>
          <w:lang w:val="en-AE"/>
        </w:rPr>
        <w:t>Fund Registration with ECMA</w:t>
      </w:r>
    </w:p>
    <w:p w14:paraId="3DC02239" w14:textId="7708B660" w:rsidR="00D810F1" w:rsidRPr="00D810F1" w:rsidRDefault="6F0969EB" w:rsidP="07F42B70">
      <w:pPr>
        <w:numPr>
          <w:ilvl w:val="2"/>
          <w:numId w:val="36"/>
        </w:numPr>
        <w:spacing w:after="0"/>
        <w:jc w:val="both"/>
      </w:pPr>
      <w:r>
        <w:lastRenderedPageBreak/>
        <w:t>Undertake</w:t>
      </w:r>
      <w:r w:rsidR="4DD49016">
        <w:t xml:space="preserve"> the process of </w:t>
      </w:r>
      <w:r w:rsidR="003A02B7">
        <w:t>Registering</w:t>
      </w:r>
      <w:r w:rsidR="00D810F1" w:rsidRPr="00D810F1">
        <w:t xml:space="preserve"> the EFF with ECMA  before commencing operations</w:t>
      </w:r>
      <w:r w:rsidR="7FB4AFEC">
        <w:t xml:space="preserve"> or soliciting investors in the EFF</w:t>
      </w:r>
      <w:r w:rsidR="00D810F1" w:rsidRPr="00D810F1">
        <w:t>.</w:t>
      </w:r>
    </w:p>
    <w:p w14:paraId="00404C44" w14:textId="749FDC2F" w:rsidR="00D810F1" w:rsidRPr="00D810F1" w:rsidRDefault="00D810F1" w:rsidP="003A02B7">
      <w:pPr>
        <w:pStyle w:val="ListParagraph"/>
        <w:numPr>
          <w:ilvl w:val="2"/>
          <w:numId w:val="36"/>
        </w:numPr>
        <w:jc w:val="both"/>
      </w:pPr>
    </w:p>
    <w:p w14:paraId="2BBC3E25" w14:textId="55ADC824" w:rsidR="0331B50A" w:rsidRDefault="0331B50A" w:rsidP="003A02B7">
      <w:pPr>
        <w:pStyle w:val="ListParagraph"/>
        <w:numPr>
          <w:ilvl w:val="1"/>
          <w:numId w:val="36"/>
        </w:numPr>
        <w:jc w:val="both"/>
      </w:pPr>
      <w:r>
        <w:t xml:space="preserve">The registration process requires preparation and submission of a comprehensive application to ECMA, detailing the fund's structure, governance, and compliance with regulatory requirements.  </w:t>
      </w:r>
    </w:p>
    <w:p w14:paraId="24E12707" w14:textId="6BCE4607" w:rsidR="008121F3" w:rsidRDefault="2767FE8F" w:rsidP="008121F3">
      <w:pPr>
        <w:rPr>
          <w:b/>
          <w:lang w:val="en-AE"/>
        </w:rPr>
      </w:pPr>
      <w:r>
        <w:t xml:space="preserve">Engagement with ECMA throughout the application process will be required, addressing any </w:t>
      </w:r>
      <w:r w:rsidR="003A02B7">
        <w:t>queries,</w:t>
      </w:r>
      <w:r>
        <w:t xml:space="preserve"> and providing additional documentation as necessary.  </w:t>
      </w:r>
    </w:p>
    <w:p w14:paraId="1AF2973D" w14:textId="7F9A4F7C" w:rsidR="008121F3" w:rsidRPr="008121F3" w:rsidRDefault="008121F3" w:rsidP="003A02B7">
      <w:pPr>
        <w:pStyle w:val="ListParagraph"/>
        <w:numPr>
          <w:ilvl w:val="0"/>
          <w:numId w:val="51"/>
        </w:numPr>
        <w:tabs>
          <w:tab w:val="num" w:pos="720"/>
        </w:tabs>
        <w:rPr>
          <w:lang w:val="en-AE"/>
        </w:rPr>
      </w:pPr>
      <w:r w:rsidRPr="008121F3">
        <w:rPr>
          <w:b/>
          <w:lang w:val="en-AE"/>
        </w:rPr>
        <w:t>Fund Setup Completion:</w:t>
      </w:r>
    </w:p>
    <w:p w14:paraId="67A0BE2C" w14:textId="0B4EC1FA" w:rsidR="008121F3" w:rsidRPr="008121F3" w:rsidRDefault="081D9A22" w:rsidP="003A02B7">
      <w:pPr>
        <w:numPr>
          <w:ilvl w:val="1"/>
          <w:numId w:val="51"/>
        </w:numPr>
        <w:spacing w:after="0"/>
      </w:pPr>
      <w:r w:rsidRPr="5795C14F">
        <w:t xml:space="preserve">Obtain formal approval and licensing from ECMA, ensuring the fund is authorized to operate as a CIS.  </w:t>
      </w:r>
      <w:r w:rsidR="008121F3" w:rsidRPr="008121F3">
        <w:t>Once approved, complete the legal establishment and registration of the fund with ECMA.</w:t>
      </w:r>
    </w:p>
    <w:p w14:paraId="22F8B64B" w14:textId="4BD866F4" w:rsidR="001E6FC1" w:rsidRDefault="008121F3" w:rsidP="003A02B7">
      <w:pPr>
        <w:numPr>
          <w:ilvl w:val="1"/>
          <w:numId w:val="51"/>
        </w:numPr>
        <w:spacing w:after="0"/>
        <w:rPr>
          <w:lang w:val="en-AE"/>
        </w:rPr>
      </w:pPr>
      <w:r w:rsidRPr="008121F3">
        <w:rPr>
          <w:lang w:val="en-AE"/>
        </w:rPr>
        <w:t>Appoint a licensed Securities Custodian to manage and safeguard the fund’s assets.</w:t>
      </w:r>
    </w:p>
    <w:p w14:paraId="0CE59687" w14:textId="77777777" w:rsidR="00E962BC" w:rsidRDefault="00E962BC" w:rsidP="00E962BC">
      <w:pPr>
        <w:spacing w:after="0"/>
      </w:pPr>
    </w:p>
    <w:p w14:paraId="4EC7DAFD" w14:textId="77777777" w:rsidR="00E962BC" w:rsidRDefault="00E962BC" w:rsidP="00E962BC">
      <w:pPr>
        <w:spacing w:after="0"/>
      </w:pPr>
    </w:p>
    <w:p w14:paraId="7E47405D" w14:textId="7B2A4B31" w:rsidR="006A43BF" w:rsidRPr="00DE2AC0" w:rsidRDefault="006A43BF" w:rsidP="006A43BF">
      <w:pPr>
        <w:pStyle w:val="ListParagraph"/>
        <w:numPr>
          <w:ilvl w:val="0"/>
          <w:numId w:val="7"/>
        </w:numPr>
        <w:rPr>
          <w:b/>
          <w:bCs/>
          <w:color w:val="002060"/>
          <w:sz w:val="24"/>
          <w:szCs w:val="24"/>
        </w:rPr>
      </w:pPr>
      <w:r>
        <w:rPr>
          <w:b/>
          <w:bCs/>
          <w:color w:val="002060"/>
          <w:sz w:val="24"/>
          <w:szCs w:val="24"/>
        </w:rPr>
        <w:t>Post-Assignment Engagement:</w:t>
      </w:r>
    </w:p>
    <w:p w14:paraId="176BF18B" w14:textId="77777777" w:rsidR="006A43BF" w:rsidRDefault="006A43BF" w:rsidP="00E962BC">
      <w:pPr>
        <w:spacing w:after="0"/>
      </w:pPr>
    </w:p>
    <w:p w14:paraId="7391FEBC" w14:textId="77777777" w:rsidR="009273DB" w:rsidRDefault="009273DB" w:rsidP="07F42B70">
      <w:pPr>
        <w:spacing w:after="0"/>
        <w:jc w:val="both"/>
        <w:rPr>
          <w:lang w:val="en-AE"/>
        </w:rPr>
      </w:pPr>
      <w:r w:rsidRPr="009273DB">
        <w:rPr>
          <w:lang w:val="en-AE"/>
        </w:rPr>
        <w:t>Upon the successful completion of the setup and establishment of the fund, the capitalization, operationalization, and management of the EFF will be undertaken based on terms agreed upon with potential Limited Partners (LPs). These phases will be detailed in future agreements between the fund management firm and the LPs.</w:t>
      </w:r>
    </w:p>
    <w:p w14:paraId="54CC7DFB" w14:textId="77777777" w:rsidR="009273DB" w:rsidRPr="009273DB" w:rsidRDefault="009273DB" w:rsidP="07F42B70">
      <w:pPr>
        <w:spacing w:after="0"/>
        <w:jc w:val="both"/>
        <w:rPr>
          <w:lang w:val="en-AE"/>
        </w:rPr>
      </w:pPr>
    </w:p>
    <w:p w14:paraId="42E66F5A" w14:textId="77777777" w:rsidR="009273DB" w:rsidRDefault="009273DB" w:rsidP="07F42B70">
      <w:pPr>
        <w:spacing w:after="0"/>
        <w:jc w:val="both"/>
      </w:pPr>
      <w:r w:rsidRPr="009273DB">
        <w:t>For more information on the subsequent phases, including capitalization, operationalization, and management of the fund, please refer to the FAQ section.</w:t>
      </w:r>
    </w:p>
    <w:p w14:paraId="4B28E93D" w14:textId="77777777" w:rsidR="009273DB" w:rsidRPr="009273DB" w:rsidRDefault="009273DB" w:rsidP="07F42B70">
      <w:pPr>
        <w:spacing w:after="0"/>
        <w:jc w:val="both"/>
        <w:rPr>
          <w:lang w:val="en-AE"/>
        </w:rPr>
      </w:pPr>
    </w:p>
    <w:p w14:paraId="1D4AAFAE" w14:textId="77777777" w:rsidR="009273DB" w:rsidRPr="009273DB" w:rsidRDefault="009273DB" w:rsidP="07F42B70">
      <w:pPr>
        <w:spacing w:after="0"/>
        <w:jc w:val="both"/>
      </w:pPr>
      <w:r w:rsidRPr="009273DB">
        <w:t>The onboarded fund management firm will be responsible for ensuring that the EFF is legally established, compliant with CIS regulations, and registered with ECMA. This foundational work will set the stage for the future phases of capitalization, management, and operationalization, which will be defined through subsequent agreements with LPs.</w:t>
      </w:r>
    </w:p>
    <w:p w14:paraId="554273D6" w14:textId="77777777" w:rsidR="009273DB" w:rsidRPr="009273DB" w:rsidRDefault="009273DB" w:rsidP="009273DB">
      <w:pPr>
        <w:spacing w:after="0"/>
        <w:rPr>
          <w:lang w:val="en-AE"/>
        </w:rPr>
      </w:pPr>
    </w:p>
    <w:p w14:paraId="79927140" w14:textId="77777777" w:rsidR="0029172C" w:rsidRDefault="0029172C" w:rsidP="0029172C">
      <w:pPr>
        <w:spacing w:after="0"/>
      </w:pPr>
    </w:p>
    <w:p w14:paraId="51C9BE16" w14:textId="4EAD8082" w:rsidR="00FD6F63" w:rsidRDefault="003A59E7" w:rsidP="28FAE5F3">
      <w:pPr>
        <w:pStyle w:val="ListParagraph"/>
        <w:numPr>
          <w:ilvl w:val="0"/>
          <w:numId w:val="7"/>
        </w:numPr>
        <w:rPr>
          <w:b/>
          <w:bCs/>
          <w:color w:val="002060"/>
          <w:sz w:val="24"/>
          <w:szCs w:val="24"/>
        </w:rPr>
      </w:pPr>
      <w:r w:rsidRPr="28FAE5F3">
        <w:rPr>
          <w:b/>
          <w:bCs/>
          <w:color w:val="002060"/>
          <w:sz w:val="24"/>
          <w:szCs w:val="24"/>
        </w:rPr>
        <w:t>SCOPE and DELIVERABLE</w:t>
      </w:r>
      <w:r w:rsidR="00FD6F63" w:rsidRPr="28FAE5F3">
        <w:rPr>
          <w:b/>
          <w:bCs/>
          <w:color w:val="002060"/>
          <w:sz w:val="24"/>
          <w:szCs w:val="24"/>
        </w:rPr>
        <w:t xml:space="preserve"> </w:t>
      </w:r>
      <w:r w:rsidR="00417928" w:rsidRPr="28FAE5F3">
        <w:rPr>
          <w:b/>
          <w:bCs/>
          <w:color w:val="002060"/>
          <w:sz w:val="24"/>
          <w:szCs w:val="24"/>
        </w:rPr>
        <w:t>of</w:t>
      </w:r>
      <w:r w:rsidR="00FD6F63" w:rsidRPr="28FAE5F3">
        <w:rPr>
          <w:b/>
          <w:bCs/>
          <w:color w:val="002060"/>
          <w:sz w:val="24"/>
          <w:szCs w:val="24"/>
        </w:rPr>
        <w:t xml:space="preserve"> THIS </w:t>
      </w:r>
      <w:r w:rsidR="009672F1" w:rsidRPr="299BCA12">
        <w:rPr>
          <w:b/>
          <w:bCs/>
          <w:color w:val="002060"/>
          <w:sz w:val="24"/>
          <w:szCs w:val="24"/>
        </w:rPr>
        <w:t>T</w:t>
      </w:r>
      <w:r w:rsidR="00B1697F">
        <w:rPr>
          <w:b/>
          <w:bCs/>
          <w:color w:val="002060"/>
          <w:sz w:val="24"/>
          <w:szCs w:val="24"/>
        </w:rPr>
        <w:t>o</w:t>
      </w:r>
      <w:r w:rsidR="009672F1" w:rsidRPr="299BCA12">
        <w:rPr>
          <w:b/>
          <w:bCs/>
          <w:color w:val="002060"/>
          <w:sz w:val="24"/>
          <w:szCs w:val="24"/>
        </w:rPr>
        <w:t>R</w:t>
      </w:r>
    </w:p>
    <w:p w14:paraId="75A6A758" w14:textId="20CDF9FD" w:rsidR="00FD6F63" w:rsidRDefault="003A59E7" w:rsidP="0029172C">
      <w:pPr>
        <w:jc w:val="both"/>
        <w:rPr>
          <w:sz w:val="24"/>
          <w:szCs w:val="24"/>
        </w:rPr>
      </w:pPr>
      <w:r w:rsidRPr="28FAE5F3">
        <w:rPr>
          <w:sz w:val="24"/>
          <w:szCs w:val="24"/>
        </w:rPr>
        <w:t>Th</w:t>
      </w:r>
      <w:r w:rsidR="00000F29" w:rsidRPr="28FAE5F3">
        <w:rPr>
          <w:sz w:val="24"/>
          <w:szCs w:val="24"/>
        </w:rPr>
        <w:t xml:space="preserve">e scope of </w:t>
      </w:r>
      <w:r w:rsidR="6233D5F5" w:rsidRPr="28FAE5F3">
        <w:rPr>
          <w:sz w:val="24"/>
          <w:szCs w:val="24"/>
        </w:rPr>
        <w:t>delivery</w:t>
      </w:r>
      <w:r w:rsidR="00000F29" w:rsidRPr="28FAE5F3">
        <w:rPr>
          <w:sz w:val="24"/>
          <w:szCs w:val="24"/>
        </w:rPr>
        <w:t xml:space="preserve"> expected </w:t>
      </w:r>
      <w:r w:rsidR="007C2A73" w:rsidRPr="28FAE5F3">
        <w:rPr>
          <w:sz w:val="24"/>
          <w:szCs w:val="24"/>
        </w:rPr>
        <w:t xml:space="preserve">from this </w:t>
      </w:r>
      <w:r w:rsidR="009672F1">
        <w:rPr>
          <w:sz w:val="24"/>
          <w:szCs w:val="24"/>
        </w:rPr>
        <w:t>T</w:t>
      </w:r>
      <w:r w:rsidR="00B90D14">
        <w:rPr>
          <w:sz w:val="24"/>
          <w:szCs w:val="24"/>
        </w:rPr>
        <w:t>o</w:t>
      </w:r>
      <w:r w:rsidR="009672F1">
        <w:rPr>
          <w:sz w:val="24"/>
          <w:szCs w:val="24"/>
        </w:rPr>
        <w:t>R</w:t>
      </w:r>
      <w:r w:rsidR="007C2A73" w:rsidRPr="28FAE5F3">
        <w:rPr>
          <w:sz w:val="24"/>
          <w:szCs w:val="24"/>
        </w:rPr>
        <w:t xml:space="preserve"> is successful completion of </w:t>
      </w:r>
      <w:r w:rsidR="000F4444">
        <w:rPr>
          <w:sz w:val="24"/>
          <w:szCs w:val="24"/>
        </w:rPr>
        <w:t xml:space="preserve">the </w:t>
      </w:r>
      <w:r w:rsidR="0015181D">
        <w:rPr>
          <w:sz w:val="24"/>
          <w:szCs w:val="24"/>
        </w:rPr>
        <w:t xml:space="preserve">setup/establishment of the </w:t>
      </w:r>
      <w:r w:rsidR="0015181D" w:rsidRPr="0015181D">
        <w:rPr>
          <w:sz w:val="24"/>
          <w:szCs w:val="24"/>
        </w:rPr>
        <w:t>fund</w:t>
      </w:r>
      <w:r w:rsidR="00E43CC4">
        <w:rPr>
          <w:sz w:val="24"/>
          <w:szCs w:val="24"/>
        </w:rPr>
        <w:t xml:space="preserve">. </w:t>
      </w:r>
      <w:r w:rsidR="3B7EA62D" w:rsidRPr="28FAE5F3">
        <w:rPr>
          <w:sz w:val="24"/>
          <w:szCs w:val="24"/>
        </w:rPr>
        <w:t xml:space="preserve">As such, applicants must submit their technical and financial proposals in response to this </w:t>
      </w:r>
      <w:r w:rsidR="009672F1">
        <w:rPr>
          <w:sz w:val="24"/>
          <w:szCs w:val="24"/>
        </w:rPr>
        <w:t>T</w:t>
      </w:r>
      <w:r w:rsidR="00B90D14">
        <w:rPr>
          <w:sz w:val="24"/>
          <w:szCs w:val="24"/>
        </w:rPr>
        <w:t>o</w:t>
      </w:r>
      <w:r w:rsidR="009672F1">
        <w:rPr>
          <w:sz w:val="24"/>
          <w:szCs w:val="24"/>
        </w:rPr>
        <w:t>R</w:t>
      </w:r>
      <w:r w:rsidR="3B7EA62D" w:rsidRPr="28FAE5F3">
        <w:rPr>
          <w:sz w:val="24"/>
          <w:szCs w:val="24"/>
        </w:rPr>
        <w:t xml:space="preserve"> only for </w:t>
      </w:r>
      <w:r w:rsidR="2EAEBAC8" w:rsidRPr="299BCA12">
        <w:rPr>
          <w:sz w:val="24"/>
          <w:szCs w:val="24"/>
        </w:rPr>
        <w:t xml:space="preserve">the </w:t>
      </w:r>
      <w:r w:rsidR="00E43CC4" w:rsidRPr="299BCA12">
        <w:rPr>
          <w:sz w:val="24"/>
          <w:szCs w:val="24"/>
        </w:rPr>
        <w:t>set-up</w:t>
      </w:r>
      <w:r w:rsidR="2EAEBAC8" w:rsidRPr="299BCA12">
        <w:rPr>
          <w:sz w:val="24"/>
          <w:szCs w:val="24"/>
        </w:rPr>
        <w:t xml:space="preserve"> of the fund</w:t>
      </w:r>
      <w:r w:rsidR="3B7EA62D" w:rsidRPr="28FAE5F3">
        <w:rPr>
          <w:sz w:val="24"/>
          <w:szCs w:val="24"/>
        </w:rPr>
        <w:t>.</w:t>
      </w:r>
      <w:r w:rsidR="00D359C8" w:rsidRPr="28FAE5F3">
        <w:rPr>
          <w:sz w:val="24"/>
          <w:szCs w:val="24"/>
        </w:rPr>
        <w:t xml:space="preserve"> </w:t>
      </w:r>
    </w:p>
    <w:p w14:paraId="0A052467" w14:textId="77777777" w:rsidR="003A02B7" w:rsidRDefault="003A02B7" w:rsidP="0029172C">
      <w:pPr>
        <w:jc w:val="both"/>
        <w:rPr>
          <w:sz w:val="24"/>
          <w:szCs w:val="24"/>
        </w:rPr>
      </w:pPr>
    </w:p>
    <w:tbl>
      <w:tblPr>
        <w:tblStyle w:val="TableGrid"/>
        <w:tblW w:w="0" w:type="auto"/>
        <w:tblLook w:val="04A0" w:firstRow="1" w:lastRow="0" w:firstColumn="1" w:lastColumn="0" w:noHBand="0" w:noVBand="1"/>
      </w:tblPr>
      <w:tblGrid>
        <w:gridCol w:w="535"/>
        <w:gridCol w:w="4139"/>
        <w:gridCol w:w="2338"/>
        <w:gridCol w:w="2338"/>
      </w:tblGrid>
      <w:tr w:rsidR="004C21FC" w14:paraId="200B6AAC" w14:textId="77777777">
        <w:tc>
          <w:tcPr>
            <w:tcW w:w="535" w:type="dxa"/>
            <w:shd w:val="clear" w:color="auto" w:fill="E7E6E6" w:themeFill="background2"/>
          </w:tcPr>
          <w:p w14:paraId="3869D14F" w14:textId="77777777" w:rsidR="004C21FC" w:rsidRDefault="004C21FC">
            <w:pPr>
              <w:tabs>
                <w:tab w:val="left" w:pos="810"/>
              </w:tabs>
            </w:pPr>
            <w:r>
              <w:lastRenderedPageBreak/>
              <w:t>No</w:t>
            </w:r>
          </w:p>
        </w:tc>
        <w:tc>
          <w:tcPr>
            <w:tcW w:w="4139" w:type="dxa"/>
            <w:shd w:val="clear" w:color="auto" w:fill="E7E6E6" w:themeFill="background2"/>
          </w:tcPr>
          <w:p w14:paraId="4E8FA7A7" w14:textId="77777777" w:rsidR="004C21FC" w:rsidRDefault="004C21FC">
            <w:pPr>
              <w:tabs>
                <w:tab w:val="left" w:pos="810"/>
              </w:tabs>
            </w:pPr>
            <w:r>
              <w:t xml:space="preserve">Deliverable </w:t>
            </w:r>
          </w:p>
        </w:tc>
        <w:tc>
          <w:tcPr>
            <w:tcW w:w="2338" w:type="dxa"/>
            <w:shd w:val="clear" w:color="auto" w:fill="E7E6E6" w:themeFill="background2"/>
          </w:tcPr>
          <w:p w14:paraId="781F9758" w14:textId="77777777" w:rsidR="004C21FC" w:rsidRDefault="004C21FC">
            <w:pPr>
              <w:tabs>
                <w:tab w:val="left" w:pos="810"/>
              </w:tabs>
            </w:pPr>
            <w:r>
              <w:t>Payment</w:t>
            </w:r>
            <w:r>
              <w:rPr>
                <w:rStyle w:val="FootnoteReference"/>
              </w:rPr>
              <w:footnoteReference w:id="2"/>
            </w:r>
            <w:r>
              <w:t xml:space="preserve"> </w:t>
            </w:r>
          </w:p>
        </w:tc>
        <w:tc>
          <w:tcPr>
            <w:tcW w:w="2338" w:type="dxa"/>
            <w:shd w:val="clear" w:color="auto" w:fill="E7E6E6" w:themeFill="background2"/>
          </w:tcPr>
          <w:p w14:paraId="6EFDF776" w14:textId="77777777" w:rsidR="004C21FC" w:rsidRDefault="004C21FC">
            <w:pPr>
              <w:tabs>
                <w:tab w:val="left" w:pos="810"/>
              </w:tabs>
            </w:pPr>
            <w:r>
              <w:t xml:space="preserve">Approval </w:t>
            </w:r>
          </w:p>
        </w:tc>
      </w:tr>
      <w:tr w:rsidR="0049754B" w14:paraId="1452D910" w14:textId="77777777">
        <w:tc>
          <w:tcPr>
            <w:tcW w:w="535" w:type="dxa"/>
          </w:tcPr>
          <w:p w14:paraId="44B5636B" w14:textId="708AD0A9" w:rsidR="0049754B" w:rsidRDefault="0049754B">
            <w:pPr>
              <w:tabs>
                <w:tab w:val="left" w:pos="810"/>
              </w:tabs>
            </w:pPr>
            <w:r>
              <w:t>1</w:t>
            </w:r>
          </w:p>
        </w:tc>
        <w:tc>
          <w:tcPr>
            <w:tcW w:w="4139" w:type="dxa"/>
          </w:tcPr>
          <w:p w14:paraId="7DB3D895" w14:textId="37C4CBC5" w:rsidR="0049754B" w:rsidRDefault="0049754B">
            <w:pPr>
              <w:tabs>
                <w:tab w:val="left" w:pos="810"/>
              </w:tabs>
            </w:pPr>
            <w:r>
              <w:t xml:space="preserve">Kick-off meeting with team and submission of Inception Report </w:t>
            </w:r>
          </w:p>
        </w:tc>
        <w:tc>
          <w:tcPr>
            <w:tcW w:w="2338" w:type="dxa"/>
          </w:tcPr>
          <w:p w14:paraId="7788CEBA" w14:textId="77777777" w:rsidR="0049754B" w:rsidRDefault="0049754B">
            <w:pPr>
              <w:tabs>
                <w:tab w:val="left" w:pos="810"/>
              </w:tabs>
            </w:pPr>
            <w:r>
              <w:t>20%</w:t>
            </w:r>
          </w:p>
        </w:tc>
        <w:tc>
          <w:tcPr>
            <w:tcW w:w="2338" w:type="dxa"/>
            <w:vMerge w:val="restart"/>
          </w:tcPr>
          <w:p w14:paraId="566FA67C" w14:textId="7D0CD66B" w:rsidR="0049754B" w:rsidRDefault="0049754B">
            <w:pPr>
              <w:tabs>
                <w:tab w:val="left" w:pos="810"/>
              </w:tabs>
            </w:pPr>
            <w:r>
              <w:t xml:space="preserve">UNDP IET Team Leader </w:t>
            </w:r>
          </w:p>
        </w:tc>
      </w:tr>
      <w:tr w:rsidR="0049754B" w14:paraId="4C27CBFA" w14:textId="77777777">
        <w:tc>
          <w:tcPr>
            <w:tcW w:w="535" w:type="dxa"/>
          </w:tcPr>
          <w:p w14:paraId="495DF183" w14:textId="1873E519" w:rsidR="0049754B" w:rsidRDefault="0049754B">
            <w:pPr>
              <w:tabs>
                <w:tab w:val="left" w:pos="810"/>
              </w:tabs>
            </w:pPr>
            <w:r>
              <w:t>2</w:t>
            </w:r>
          </w:p>
        </w:tc>
        <w:tc>
          <w:tcPr>
            <w:tcW w:w="4139" w:type="dxa"/>
          </w:tcPr>
          <w:p w14:paraId="3406F8FF" w14:textId="4FEC2E44" w:rsidR="0049754B" w:rsidRDefault="0049754B">
            <w:pPr>
              <w:tabs>
                <w:tab w:val="left" w:pos="810"/>
              </w:tabs>
            </w:pPr>
            <w:r>
              <w:t xml:space="preserve">Submission of documents/evidence of fund establishment: Submission of Fund Establishment Documentation and CIS Operator License </w:t>
            </w:r>
          </w:p>
        </w:tc>
        <w:tc>
          <w:tcPr>
            <w:tcW w:w="2338" w:type="dxa"/>
          </w:tcPr>
          <w:p w14:paraId="0A8B1047" w14:textId="097D5EE6" w:rsidR="0049754B" w:rsidRDefault="0049754B">
            <w:pPr>
              <w:tabs>
                <w:tab w:val="left" w:pos="810"/>
              </w:tabs>
            </w:pPr>
            <w:r>
              <w:t>60%</w:t>
            </w:r>
          </w:p>
        </w:tc>
        <w:tc>
          <w:tcPr>
            <w:tcW w:w="2338" w:type="dxa"/>
            <w:vMerge/>
          </w:tcPr>
          <w:p w14:paraId="13FC2BC4" w14:textId="77777777" w:rsidR="0049754B" w:rsidRDefault="0049754B">
            <w:pPr>
              <w:tabs>
                <w:tab w:val="left" w:pos="810"/>
              </w:tabs>
            </w:pPr>
          </w:p>
        </w:tc>
      </w:tr>
      <w:tr w:rsidR="0049754B" w14:paraId="30274B8E" w14:textId="77777777">
        <w:tc>
          <w:tcPr>
            <w:tcW w:w="535" w:type="dxa"/>
          </w:tcPr>
          <w:p w14:paraId="0B99A9FF" w14:textId="36362F28" w:rsidR="0049754B" w:rsidRDefault="0049754B">
            <w:pPr>
              <w:tabs>
                <w:tab w:val="left" w:pos="810"/>
              </w:tabs>
            </w:pPr>
            <w:r>
              <w:t>3</w:t>
            </w:r>
          </w:p>
        </w:tc>
        <w:tc>
          <w:tcPr>
            <w:tcW w:w="4139" w:type="dxa"/>
          </w:tcPr>
          <w:p w14:paraId="211B599B" w14:textId="207D29CE" w:rsidR="0049754B" w:rsidRDefault="0049754B">
            <w:pPr>
              <w:tabs>
                <w:tab w:val="left" w:pos="810"/>
              </w:tabs>
            </w:pPr>
            <w:r>
              <w:t xml:space="preserve">Final report and ECMA Fund Registration Approval </w:t>
            </w:r>
          </w:p>
        </w:tc>
        <w:tc>
          <w:tcPr>
            <w:tcW w:w="2338" w:type="dxa"/>
          </w:tcPr>
          <w:p w14:paraId="31494B1A" w14:textId="015F0B03" w:rsidR="0049754B" w:rsidRDefault="0049754B">
            <w:pPr>
              <w:tabs>
                <w:tab w:val="left" w:pos="810"/>
              </w:tabs>
            </w:pPr>
            <w:r>
              <w:t>20%</w:t>
            </w:r>
          </w:p>
        </w:tc>
        <w:tc>
          <w:tcPr>
            <w:tcW w:w="2338" w:type="dxa"/>
            <w:vMerge/>
          </w:tcPr>
          <w:p w14:paraId="63D2FC56" w14:textId="77777777" w:rsidR="0049754B" w:rsidRDefault="0049754B">
            <w:pPr>
              <w:tabs>
                <w:tab w:val="left" w:pos="810"/>
              </w:tabs>
            </w:pPr>
          </w:p>
        </w:tc>
      </w:tr>
    </w:tbl>
    <w:p w14:paraId="5D311A5B" w14:textId="77777777" w:rsidR="00335BC2" w:rsidRDefault="00335BC2" w:rsidP="0029172C">
      <w:pPr>
        <w:jc w:val="both"/>
        <w:rPr>
          <w:rFonts w:cstheme="minorHAnsi"/>
          <w:sz w:val="24"/>
          <w:szCs w:val="24"/>
        </w:rPr>
      </w:pPr>
    </w:p>
    <w:p w14:paraId="0F86FDE0" w14:textId="77777777" w:rsidR="00EA391A" w:rsidRPr="00946816" w:rsidRDefault="00EA391A" w:rsidP="00EA391A">
      <w:pPr>
        <w:jc w:val="both"/>
        <w:rPr>
          <w:lang w:val="en-AE"/>
        </w:rPr>
      </w:pPr>
      <w:r w:rsidRPr="00ED2BEB">
        <w:rPr>
          <w:lang w:val="en-AE"/>
        </w:rPr>
        <w:t xml:space="preserve">The purpose of this Terms of Reference (TOR) is to select and approve a fund management firm that will establish the EFF as a legal entity and manage its initial setup. </w:t>
      </w:r>
      <w:r w:rsidRPr="02E64C84">
        <w:rPr>
          <w:lang w:val="en-AE"/>
        </w:rPr>
        <w:t>This specific</w:t>
      </w:r>
      <w:r w:rsidRPr="00ED2BEB">
        <w:rPr>
          <w:lang w:val="en-AE"/>
        </w:rPr>
        <w:t xml:space="preserve"> assignment </w:t>
      </w:r>
      <w:r>
        <w:t xml:space="preserve">focuses on setting up the fund, including </w:t>
      </w:r>
      <w:r w:rsidRPr="00ED2BEB">
        <w:rPr>
          <w:lang w:val="en-AE"/>
        </w:rPr>
        <w:t xml:space="preserve"> </w:t>
      </w:r>
      <w:r>
        <w:t xml:space="preserve"> establishing the fund as a legal entity and obtaining the necessary regulatory authorizations for the </w:t>
      </w:r>
      <w:r w:rsidRPr="00ED2BEB">
        <w:rPr>
          <w:lang w:val="en-AE"/>
        </w:rPr>
        <w:t xml:space="preserve">fund. Future agreements </w:t>
      </w:r>
      <w:r>
        <w:t>between the onboarded fund management firm and other relevant parties will</w:t>
      </w:r>
      <w:r w:rsidRPr="00ED2BEB">
        <w:rPr>
          <w:lang w:val="en-AE"/>
        </w:rPr>
        <w:t xml:space="preserve"> define the terms for capitalization, management, and operationalization of the fund.</w:t>
      </w:r>
    </w:p>
    <w:p w14:paraId="6DF27633" w14:textId="77777777" w:rsidR="005E2DA3" w:rsidRPr="00EA391A" w:rsidRDefault="005E2DA3" w:rsidP="0029172C">
      <w:pPr>
        <w:jc w:val="both"/>
        <w:rPr>
          <w:sz w:val="24"/>
          <w:szCs w:val="24"/>
          <w:lang w:val="en-AE"/>
        </w:rPr>
      </w:pPr>
    </w:p>
    <w:p w14:paraId="6421AC9F" w14:textId="1AB019C5" w:rsidR="0012022C" w:rsidRDefault="0012022C" w:rsidP="28FAE5F3">
      <w:pPr>
        <w:pStyle w:val="ListParagraph"/>
        <w:numPr>
          <w:ilvl w:val="0"/>
          <w:numId w:val="7"/>
        </w:numPr>
        <w:jc w:val="both"/>
        <w:rPr>
          <w:b/>
          <w:bCs/>
          <w:color w:val="002060"/>
          <w:sz w:val="24"/>
          <w:szCs w:val="24"/>
        </w:rPr>
      </w:pPr>
      <w:r w:rsidRPr="28FAE5F3">
        <w:rPr>
          <w:b/>
          <w:bCs/>
          <w:color w:val="002060"/>
          <w:sz w:val="24"/>
          <w:szCs w:val="24"/>
        </w:rPr>
        <w:t>REQUIRED EXPERIENCE</w:t>
      </w:r>
      <w:r w:rsidR="00A97D25" w:rsidRPr="28FAE5F3">
        <w:rPr>
          <w:b/>
          <w:bCs/>
          <w:color w:val="002060"/>
          <w:sz w:val="24"/>
          <w:szCs w:val="24"/>
        </w:rPr>
        <w:t>, COMPETENCE</w:t>
      </w:r>
      <w:r w:rsidRPr="28FAE5F3">
        <w:rPr>
          <w:b/>
          <w:bCs/>
          <w:color w:val="002060"/>
          <w:sz w:val="24"/>
          <w:szCs w:val="24"/>
        </w:rPr>
        <w:t xml:space="preserve"> AND </w:t>
      </w:r>
      <w:r w:rsidR="00D637E6" w:rsidRPr="28FAE5F3">
        <w:rPr>
          <w:b/>
          <w:bCs/>
          <w:color w:val="002060"/>
          <w:sz w:val="24"/>
          <w:szCs w:val="24"/>
        </w:rPr>
        <w:t>QUALIFICATIONS</w:t>
      </w:r>
      <w:r w:rsidRPr="28FAE5F3">
        <w:rPr>
          <w:b/>
          <w:bCs/>
          <w:color w:val="002060"/>
          <w:sz w:val="24"/>
          <w:szCs w:val="24"/>
        </w:rPr>
        <w:t xml:space="preserve"> </w:t>
      </w:r>
    </w:p>
    <w:p w14:paraId="7C271481" w14:textId="77777777" w:rsidR="00707EA0" w:rsidRPr="00707EA0" w:rsidRDefault="00707EA0" w:rsidP="00707EA0">
      <w:pPr>
        <w:jc w:val="both"/>
        <w:rPr>
          <w:b/>
          <w:bCs/>
          <w:color w:val="002060"/>
          <w:sz w:val="24"/>
          <w:szCs w:val="24"/>
        </w:rPr>
      </w:pPr>
    </w:p>
    <w:p w14:paraId="7F697BD1" w14:textId="0E8B52D5" w:rsidR="00763E31" w:rsidRDefault="00763E31" w:rsidP="00707EA0">
      <w:pPr>
        <w:pStyle w:val="ListParagraph"/>
        <w:numPr>
          <w:ilvl w:val="1"/>
          <w:numId w:val="42"/>
        </w:numPr>
        <w:spacing w:after="0"/>
        <w:jc w:val="both"/>
        <w:rPr>
          <w:b/>
          <w:bCs/>
          <w:sz w:val="24"/>
          <w:szCs w:val="24"/>
        </w:rPr>
      </w:pPr>
      <w:r w:rsidRPr="00707EA0">
        <w:rPr>
          <w:b/>
          <w:bCs/>
          <w:sz w:val="24"/>
          <w:szCs w:val="24"/>
        </w:rPr>
        <w:t>Relevant Experience</w:t>
      </w:r>
    </w:p>
    <w:p w14:paraId="60C92C51" w14:textId="77777777" w:rsidR="00707EA0" w:rsidRPr="00707EA0" w:rsidRDefault="00707EA0" w:rsidP="00707EA0">
      <w:pPr>
        <w:pStyle w:val="ListParagraph"/>
        <w:spacing w:after="0"/>
        <w:ind w:left="360"/>
        <w:jc w:val="both"/>
        <w:rPr>
          <w:b/>
          <w:bCs/>
          <w:sz w:val="24"/>
          <w:szCs w:val="24"/>
        </w:rPr>
      </w:pPr>
    </w:p>
    <w:p w14:paraId="7DE4EADD" w14:textId="7C60DFEE" w:rsidR="00D438F9" w:rsidRDefault="00D438F9" w:rsidP="00707EA0">
      <w:pPr>
        <w:pStyle w:val="ListParagraph"/>
        <w:numPr>
          <w:ilvl w:val="0"/>
          <w:numId w:val="41"/>
        </w:numPr>
        <w:spacing w:after="0"/>
        <w:jc w:val="both"/>
        <w:rPr>
          <w:sz w:val="24"/>
          <w:szCs w:val="24"/>
        </w:rPr>
      </w:pPr>
      <w:r w:rsidRPr="00D438F9">
        <w:rPr>
          <w:b/>
          <w:sz w:val="24"/>
          <w:szCs w:val="24"/>
        </w:rPr>
        <w:t>Fund Management Experience:</w:t>
      </w:r>
      <w:r w:rsidRPr="00D438F9">
        <w:rPr>
          <w:sz w:val="24"/>
          <w:szCs w:val="24"/>
        </w:rPr>
        <w:t xml:space="preserve"> The applicant </w:t>
      </w:r>
      <w:r>
        <w:rPr>
          <w:sz w:val="24"/>
          <w:szCs w:val="24"/>
        </w:rPr>
        <w:t xml:space="preserve">firm </w:t>
      </w:r>
      <w:r w:rsidRPr="00D438F9">
        <w:rPr>
          <w:sz w:val="24"/>
          <w:szCs w:val="24"/>
        </w:rPr>
        <w:t>must demonstrate documented resources, competence, and experience spanning 5-7 years in fund management, particularly in developing countries or countries with similar characteristics.</w:t>
      </w:r>
    </w:p>
    <w:p w14:paraId="45C0402A" w14:textId="62B7EB47" w:rsidR="00D438F9" w:rsidRPr="00D438F9" w:rsidRDefault="00D438F9" w:rsidP="00D438F9">
      <w:pPr>
        <w:pStyle w:val="ListParagraph"/>
        <w:numPr>
          <w:ilvl w:val="0"/>
          <w:numId w:val="41"/>
        </w:numPr>
        <w:jc w:val="both"/>
        <w:rPr>
          <w:sz w:val="24"/>
          <w:szCs w:val="24"/>
        </w:rPr>
      </w:pPr>
      <w:r w:rsidRPr="00D438F9">
        <w:rPr>
          <w:b/>
          <w:sz w:val="24"/>
          <w:szCs w:val="24"/>
        </w:rPr>
        <w:t>Investment Management:</w:t>
      </w:r>
      <w:r w:rsidRPr="00D438F9">
        <w:rPr>
          <w:sz w:val="24"/>
          <w:szCs w:val="24"/>
        </w:rPr>
        <w:t xml:space="preserve"> The applicant </w:t>
      </w:r>
      <w:r>
        <w:rPr>
          <w:sz w:val="24"/>
          <w:szCs w:val="24"/>
        </w:rPr>
        <w:t xml:space="preserve">firm </w:t>
      </w:r>
      <w:r w:rsidRPr="00D438F9">
        <w:rPr>
          <w:sz w:val="24"/>
          <w:szCs w:val="24"/>
        </w:rPr>
        <w:t>must show documented experience in executing and managing investments in startups and growth-stage SMEs. Experience in managing a fund of funds is an added advantage</w:t>
      </w:r>
      <w:r>
        <w:rPr>
          <w:sz w:val="24"/>
          <w:szCs w:val="24"/>
        </w:rPr>
        <w:t>.</w:t>
      </w:r>
    </w:p>
    <w:p w14:paraId="2FF7EB05" w14:textId="77777777" w:rsidR="00B90D14" w:rsidRDefault="00B90D14" w:rsidP="00B90D14">
      <w:pPr>
        <w:pStyle w:val="ListParagraph"/>
        <w:jc w:val="both"/>
        <w:rPr>
          <w:sz w:val="24"/>
          <w:szCs w:val="24"/>
        </w:rPr>
      </w:pPr>
    </w:p>
    <w:p w14:paraId="7B73A5D8" w14:textId="77777777" w:rsidR="0093130F" w:rsidRPr="00E64AD1" w:rsidRDefault="0093130F" w:rsidP="00B90D14">
      <w:pPr>
        <w:pStyle w:val="ListParagraph"/>
        <w:jc w:val="both"/>
        <w:rPr>
          <w:sz w:val="24"/>
          <w:szCs w:val="24"/>
        </w:rPr>
      </w:pPr>
    </w:p>
    <w:p w14:paraId="2D12F3FA" w14:textId="1B73515C" w:rsidR="00F623A6" w:rsidRPr="00707EA0" w:rsidRDefault="00384F41" w:rsidP="009D2DDB">
      <w:pPr>
        <w:jc w:val="both"/>
        <w:rPr>
          <w:b/>
          <w:bCs/>
          <w:sz w:val="24"/>
          <w:szCs w:val="24"/>
        </w:rPr>
      </w:pPr>
      <w:r w:rsidRPr="0093130F">
        <w:rPr>
          <w:b/>
          <w:bCs/>
          <w:sz w:val="24"/>
          <w:szCs w:val="24"/>
        </w:rPr>
        <w:t xml:space="preserve">7.2 </w:t>
      </w:r>
      <w:r w:rsidR="00754E6E" w:rsidRPr="0093130F">
        <w:rPr>
          <w:b/>
          <w:bCs/>
          <w:sz w:val="24"/>
          <w:szCs w:val="24"/>
        </w:rPr>
        <w:t>Legal</w:t>
      </w:r>
      <w:r w:rsidR="00754E6E" w:rsidRPr="00707EA0">
        <w:rPr>
          <w:b/>
          <w:bCs/>
          <w:sz w:val="24"/>
          <w:szCs w:val="24"/>
        </w:rPr>
        <w:t xml:space="preserve"> Certification</w:t>
      </w:r>
    </w:p>
    <w:p w14:paraId="2D5BE90D" w14:textId="4F6C9A37" w:rsidR="00432AC5" w:rsidRPr="00432AC5" w:rsidRDefault="00432AC5" w:rsidP="00432AC5">
      <w:pPr>
        <w:numPr>
          <w:ilvl w:val="0"/>
          <w:numId w:val="43"/>
        </w:numPr>
        <w:jc w:val="both"/>
        <w:rPr>
          <w:sz w:val="24"/>
          <w:szCs w:val="24"/>
        </w:rPr>
      </w:pPr>
      <w:r w:rsidRPr="00432AC5">
        <w:rPr>
          <w:b/>
          <w:sz w:val="24"/>
          <w:szCs w:val="24"/>
        </w:rPr>
        <w:t>Legal Compliance:</w:t>
      </w:r>
      <w:r w:rsidRPr="00432AC5">
        <w:rPr>
          <w:sz w:val="24"/>
          <w:szCs w:val="24"/>
        </w:rPr>
        <w:t xml:space="preserve"> The applicant</w:t>
      </w:r>
      <w:r w:rsidR="00FB50A7">
        <w:rPr>
          <w:sz w:val="24"/>
          <w:szCs w:val="24"/>
        </w:rPr>
        <w:t xml:space="preserve"> firm</w:t>
      </w:r>
      <w:r w:rsidRPr="00432AC5">
        <w:rPr>
          <w:sz w:val="24"/>
          <w:szCs w:val="24"/>
        </w:rPr>
        <w:t xml:space="preserve"> must have fulfilled all necessary legal obligations regarding registration, taxation, and other legal requirements in its home country.</w:t>
      </w:r>
    </w:p>
    <w:p w14:paraId="3A085072" w14:textId="669D7EA5" w:rsidR="00432AC5" w:rsidRPr="00432AC5" w:rsidRDefault="00432AC5" w:rsidP="00432AC5">
      <w:pPr>
        <w:numPr>
          <w:ilvl w:val="0"/>
          <w:numId w:val="43"/>
        </w:numPr>
        <w:jc w:val="both"/>
        <w:rPr>
          <w:sz w:val="24"/>
          <w:szCs w:val="24"/>
        </w:rPr>
      </w:pPr>
      <w:r w:rsidRPr="00432AC5">
        <w:rPr>
          <w:b/>
          <w:sz w:val="24"/>
          <w:szCs w:val="24"/>
        </w:rPr>
        <w:t>Clean Legal Record:</w:t>
      </w:r>
      <w:r w:rsidRPr="00432AC5">
        <w:rPr>
          <w:sz w:val="24"/>
          <w:szCs w:val="24"/>
        </w:rPr>
        <w:t xml:space="preserve"> The applicant </w:t>
      </w:r>
      <w:r w:rsidR="00FB50A7" w:rsidRPr="07F42B70">
        <w:rPr>
          <w:sz w:val="24"/>
          <w:szCs w:val="24"/>
        </w:rPr>
        <w:t>firm</w:t>
      </w:r>
      <w:r w:rsidR="59A1C0E8" w:rsidRPr="07F42B70">
        <w:rPr>
          <w:sz w:val="24"/>
          <w:szCs w:val="24"/>
        </w:rPr>
        <w:t xml:space="preserve"> </w:t>
      </w:r>
      <w:r w:rsidRPr="07F42B70">
        <w:rPr>
          <w:sz w:val="24"/>
          <w:szCs w:val="24"/>
        </w:rPr>
        <w:t>and</w:t>
      </w:r>
      <w:r w:rsidRPr="00432AC5">
        <w:rPr>
          <w:sz w:val="24"/>
          <w:szCs w:val="24"/>
        </w:rPr>
        <w:t xml:space="preserve"> its representatives must not have been found guilty of any crime or liable for any civil acts of gross negligence or willful misconduct related to their professional activities.</w:t>
      </w:r>
    </w:p>
    <w:p w14:paraId="6C02EC25" w14:textId="196330D3" w:rsidR="00432AC5" w:rsidRPr="00432AC5" w:rsidRDefault="00432AC5" w:rsidP="00432AC5">
      <w:pPr>
        <w:numPr>
          <w:ilvl w:val="0"/>
          <w:numId w:val="43"/>
        </w:numPr>
        <w:jc w:val="both"/>
        <w:rPr>
          <w:sz w:val="24"/>
          <w:szCs w:val="24"/>
        </w:rPr>
      </w:pPr>
      <w:r w:rsidRPr="00432AC5">
        <w:rPr>
          <w:b/>
          <w:sz w:val="24"/>
          <w:szCs w:val="24"/>
        </w:rPr>
        <w:lastRenderedPageBreak/>
        <w:t>Registration Documentation:</w:t>
      </w:r>
      <w:r w:rsidRPr="00432AC5">
        <w:rPr>
          <w:sz w:val="24"/>
          <w:szCs w:val="24"/>
        </w:rPr>
        <w:t xml:space="preserve"> If registration is required, the applicant</w:t>
      </w:r>
      <w:r w:rsidR="00FB50A7">
        <w:rPr>
          <w:sz w:val="24"/>
          <w:szCs w:val="24"/>
        </w:rPr>
        <w:t xml:space="preserve"> firm</w:t>
      </w:r>
      <w:r w:rsidRPr="00432AC5">
        <w:rPr>
          <w:sz w:val="24"/>
          <w:szCs w:val="24"/>
        </w:rPr>
        <w:t xml:space="preserve"> must include a copy of the registration certificate issued by the appropriate authority in their home country as part of their expression of interest.</w:t>
      </w:r>
    </w:p>
    <w:p w14:paraId="6AE6875F" w14:textId="0B47C1FC" w:rsidR="00564088" w:rsidRPr="0093130F" w:rsidRDefault="00384F41" w:rsidP="009D2DDB">
      <w:pPr>
        <w:jc w:val="both"/>
        <w:rPr>
          <w:b/>
          <w:bCs/>
        </w:rPr>
      </w:pPr>
      <w:r w:rsidRPr="0093130F">
        <w:rPr>
          <w:b/>
          <w:bCs/>
        </w:rPr>
        <w:t xml:space="preserve">7.3 </w:t>
      </w:r>
      <w:r w:rsidR="00D1431F" w:rsidRPr="0093130F">
        <w:rPr>
          <w:b/>
          <w:bCs/>
        </w:rPr>
        <w:t>Financial Accounts</w:t>
      </w:r>
    </w:p>
    <w:p w14:paraId="4CA93505" w14:textId="19D13A25" w:rsidR="00707EA0" w:rsidRPr="00707EA0" w:rsidRDefault="00707EA0" w:rsidP="00707EA0">
      <w:pPr>
        <w:pStyle w:val="ListParagraph"/>
        <w:numPr>
          <w:ilvl w:val="0"/>
          <w:numId w:val="44"/>
        </w:numPr>
        <w:jc w:val="both"/>
      </w:pPr>
      <w:r w:rsidRPr="00707EA0">
        <w:rPr>
          <w:b/>
        </w:rPr>
        <w:t>Financial Stability:</w:t>
      </w:r>
      <w:r w:rsidRPr="00707EA0">
        <w:t xml:space="preserve"> Applicant</w:t>
      </w:r>
      <w:r>
        <w:t xml:space="preserve"> firms</w:t>
      </w:r>
      <w:r w:rsidRPr="00707EA0">
        <w:t xml:space="preserve"> must demonstrate stable financial standing.</w:t>
      </w:r>
    </w:p>
    <w:p w14:paraId="1263E96B" w14:textId="1E75FA6E" w:rsidR="00707EA0" w:rsidRPr="00707EA0" w:rsidRDefault="00707EA0" w:rsidP="00707EA0">
      <w:pPr>
        <w:pStyle w:val="ListParagraph"/>
        <w:numPr>
          <w:ilvl w:val="0"/>
          <w:numId w:val="44"/>
        </w:numPr>
        <w:jc w:val="both"/>
      </w:pPr>
      <w:r w:rsidRPr="00707EA0">
        <w:rPr>
          <w:b/>
        </w:rPr>
        <w:t>Annual Accounts:</w:t>
      </w:r>
      <w:r w:rsidRPr="00707EA0">
        <w:t xml:space="preserve"> Applicant</w:t>
      </w:r>
      <w:r>
        <w:t xml:space="preserve"> firms</w:t>
      </w:r>
      <w:r w:rsidRPr="00707EA0">
        <w:t xml:space="preserve"> required to prepare annual accounts must provide copies of the most recent year's adopted annual accounts to show a stable financial basis.</w:t>
      </w:r>
    </w:p>
    <w:p w14:paraId="1DFE773A" w14:textId="4C0705EE" w:rsidR="00707EA0" w:rsidRPr="00707EA0" w:rsidRDefault="00707EA0" w:rsidP="00707EA0">
      <w:pPr>
        <w:pStyle w:val="ListParagraph"/>
        <w:numPr>
          <w:ilvl w:val="0"/>
          <w:numId w:val="44"/>
        </w:numPr>
        <w:jc w:val="both"/>
      </w:pPr>
      <w:r w:rsidRPr="00707EA0">
        <w:rPr>
          <w:b/>
        </w:rPr>
        <w:t>Audit Reports:</w:t>
      </w:r>
      <w:r w:rsidRPr="00707EA0">
        <w:t xml:space="preserve"> Applicant</w:t>
      </w:r>
      <w:r>
        <w:t xml:space="preserve"> firms</w:t>
      </w:r>
      <w:r w:rsidRPr="00707EA0">
        <w:t xml:space="preserve"> must also attach audit reports for the three most recent years. If unavailable, audit reports for the two most recent years or the most recent year must be provided.</w:t>
      </w:r>
    </w:p>
    <w:p w14:paraId="11F72FCD" w14:textId="62FBBEB9" w:rsidR="00D569F3" w:rsidRDefault="00D569F3" w:rsidP="006B298E">
      <w:pPr>
        <w:pStyle w:val="ListParagraph"/>
        <w:jc w:val="both"/>
        <w:rPr>
          <w:u w:val="single"/>
        </w:rPr>
      </w:pPr>
    </w:p>
    <w:p w14:paraId="562CD4C5" w14:textId="168C7A4B" w:rsidR="006B298E" w:rsidRPr="00295C70" w:rsidRDefault="006B298E" w:rsidP="00D438F9">
      <w:pPr>
        <w:pStyle w:val="ListParagraph"/>
        <w:numPr>
          <w:ilvl w:val="1"/>
          <w:numId w:val="42"/>
        </w:numPr>
        <w:jc w:val="both"/>
        <w:rPr>
          <w:b/>
          <w:bCs/>
        </w:rPr>
      </w:pPr>
      <w:r w:rsidRPr="00295C70">
        <w:rPr>
          <w:b/>
          <w:bCs/>
        </w:rPr>
        <w:t xml:space="preserve">Qualification and Experience of Team Members </w:t>
      </w:r>
    </w:p>
    <w:p w14:paraId="33897A7D" w14:textId="77777777" w:rsidR="006B298E" w:rsidRDefault="006B298E" w:rsidP="006B298E">
      <w:pPr>
        <w:pStyle w:val="ListParagraph"/>
        <w:ind w:left="360"/>
        <w:jc w:val="both"/>
      </w:pPr>
    </w:p>
    <w:p w14:paraId="4155E333" w14:textId="6C59C9C2" w:rsidR="009672F1" w:rsidRPr="00AB1BEE" w:rsidRDefault="006B298E" w:rsidP="00AB1BEE">
      <w:pPr>
        <w:pStyle w:val="ListParagraph"/>
        <w:numPr>
          <w:ilvl w:val="0"/>
          <w:numId w:val="22"/>
        </w:numPr>
        <w:ind w:left="360" w:hanging="360"/>
        <w:jc w:val="both"/>
      </w:pPr>
      <w:r w:rsidRPr="006B298E">
        <w:rPr>
          <w:b/>
          <w:bCs/>
        </w:rPr>
        <w:t>Team Leader</w:t>
      </w:r>
    </w:p>
    <w:p w14:paraId="37F1C5A8" w14:textId="77777777" w:rsidR="00AB1BEE" w:rsidRDefault="00AB1BEE" w:rsidP="00AB1BEE">
      <w:pPr>
        <w:pStyle w:val="ListParagraph"/>
        <w:ind w:left="360"/>
        <w:jc w:val="both"/>
      </w:pPr>
    </w:p>
    <w:p w14:paraId="521568A3" w14:textId="77777777" w:rsidR="00AB1BEE" w:rsidRDefault="00AB1BEE" w:rsidP="00AB1BEE">
      <w:pPr>
        <w:pStyle w:val="ListParagraph"/>
        <w:numPr>
          <w:ilvl w:val="0"/>
          <w:numId w:val="45"/>
        </w:numPr>
        <w:jc w:val="both"/>
      </w:pPr>
      <w:r w:rsidRPr="00AB1BEE">
        <w:rPr>
          <w:b/>
        </w:rPr>
        <w:t>Academic Qualification:</w:t>
      </w:r>
      <w:r w:rsidRPr="00AB1BEE">
        <w:t xml:space="preserve"> </w:t>
      </w:r>
    </w:p>
    <w:p w14:paraId="01D8B714" w14:textId="4B477EB1" w:rsidR="006C55D9" w:rsidRPr="006C55D9" w:rsidRDefault="00AB1BEE" w:rsidP="006C55D9">
      <w:pPr>
        <w:pStyle w:val="ListParagraph"/>
        <w:numPr>
          <w:ilvl w:val="1"/>
          <w:numId w:val="45"/>
        </w:numPr>
        <w:jc w:val="both"/>
      </w:pPr>
      <w:r w:rsidRPr="00AB1BEE">
        <w:t>Minimum of a master’s degree or commensurate experience in Corporate Finance, Business Administration, Transaction Advisory, Investment Analysis, or related fields.</w:t>
      </w:r>
    </w:p>
    <w:p w14:paraId="2486F281" w14:textId="77777777" w:rsidR="00AB1BEE" w:rsidRDefault="00AB1BEE" w:rsidP="00AB1BEE">
      <w:pPr>
        <w:pStyle w:val="ListParagraph"/>
        <w:numPr>
          <w:ilvl w:val="0"/>
          <w:numId w:val="45"/>
        </w:numPr>
        <w:jc w:val="both"/>
      </w:pPr>
      <w:r w:rsidRPr="00AB1BEE">
        <w:rPr>
          <w:b/>
        </w:rPr>
        <w:t>Experience:</w:t>
      </w:r>
      <w:r w:rsidRPr="00AB1BEE">
        <w:t xml:space="preserve"> </w:t>
      </w:r>
    </w:p>
    <w:p w14:paraId="69C711D7" w14:textId="7B6D208E" w:rsidR="00AB1BEE" w:rsidRPr="00AB1BEE" w:rsidRDefault="00AB1BEE" w:rsidP="00AB1BEE">
      <w:pPr>
        <w:pStyle w:val="ListParagraph"/>
        <w:numPr>
          <w:ilvl w:val="1"/>
          <w:numId w:val="45"/>
        </w:numPr>
        <w:jc w:val="both"/>
      </w:pPr>
      <w:r w:rsidRPr="00AB1BEE">
        <w:t>10-15 years of relevant experience in investment fund structuring, fund management, fundraising, with strong communication and presentation skills. Demonstrable experience in early-stage venture capital and startup ecosystems in Africa.</w:t>
      </w:r>
    </w:p>
    <w:p w14:paraId="150442C5" w14:textId="77777777" w:rsidR="00AB1BEE" w:rsidRPr="00AB1BEE" w:rsidRDefault="00AB1BEE" w:rsidP="00AB1BEE">
      <w:pPr>
        <w:pStyle w:val="ListParagraph"/>
        <w:numPr>
          <w:ilvl w:val="0"/>
          <w:numId w:val="45"/>
        </w:numPr>
        <w:jc w:val="both"/>
      </w:pPr>
      <w:r w:rsidRPr="00AB1BEE">
        <w:rPr>
          <w:b/>
        </w:rPr>
        <w:t>Competencies:</w:t>
      </w:r>
    </w:p>
    <w:p w14:paraId="5F8234FD" w14:textId="77777777" w:rsidR="00AB1BEE" w:rsidRPr="00AB1BEE" w:rsidRDefault="00AB1BEE" w:rsidP="00AB1BEE">
      <w:pPr>
        <w:pStyle w:val="ListParagraph"/>
        <w:numPr>
          <w:ilvl w:val="1"/>
          <w:numId w:val="45"/>
        </w:numPr>
        <w:jc w:val="both"/>
      </w:pPr>
      <w:r w:rsidRPr="00AB1BEE">
        <w:t>Excellent research and advocacy skills in the relevant area.</w:t>
      </w:r>
    </w:p>
    <w:p w14:paraId="2137BB4F" w14:textId="77777777" w:rsidR="00AB1BEE" w:rsidRPr="00AB1BEE" w:rsidRDefault="00AB1BEE" w:rsidP="00AB1BEE">
      <w:pPr>
        <w:pStyle w:val="ListParagraph"/>
        <w:numPr>
          <w:ilvl w:val="1"/>
          <w:numId w:val="45"/>
        </w:numPr>
        <w:jc w:val="both"/>
      </w:pPr>
      <w:r w:rsidRPr="00AB1BEE">
        <w:t>Strong organizational skills.</w:t>
      </w:r>
    </w:p>
    <w:p w14:paraId="721980AA" w14:textId="77777777" w:rsidR="00AB1BEE" w:rsidRPr="00AB1BEE" w:rsidRDefault="00AB1BEE" w:rsidP="00AB1BEE">
      <w:pPr>
        <w:pStyle w:val="ListParagraph"/>
        <w:numPr>
          <w:ilvl w:val="1"/>
          <w:numId w:val="45"/>
        </w:numPr>
        <w:jc w:val="both"/>
      </w:pPr>
      <w:r w:rsidRPr="00AB1BEE">
        <w:t>Proficiency in English.</w:t>
      </w:r>
    </w:p>
    <w:p w14:paraId="73354156" w14:textId="77777777" w:rsidR="00AB1BEE" w:rsidRDefault="00AB1BEE" w:rsidP="009672F1">
      <w:pPr>
        <w:pStyle w:val="ListParagraph"/>
        <w:ind w:left="770"/>
        <w:jc w:val="both"/>
      </w:pPr>
    </w:p>
    <w:p w14:paraId="0810BB30" w14:textId="3F758738" w:rsidR="00783CD8" w:rsidRPr="006C55D9" w:rsidRDefault="006B298E" w:rsidP="00783CD8">
      <w:pPr>
        <w:pStyle w:val="ListParagraph"/>
        <w:numPr>
          <w:ilvl w:val="0"/>
          <w:numId w:val="22"/>
        </w:numPr>
        <w:jc w:val="both"/>
        <w:rPr>
          <w:b/>
          <w:bCs/>
        </w:rPr>
      </w:pPr>
      <w:r w:rsidRPr="006B298E">
        <w:rPr>
          <w:b/>
          <w:bCs/>
        </w:rPr>
        <w:t>Team Members</w:t>
      </w:r>
      <w:r w:rsidR="00840646">
        <w:rPr>
          <w:b/>
          <w:bCs/>
        </w:rPr>
        <w:t xml:space="preserve"> (</w:t>
      </w:r>
      <w:r w:rsidR="00AB1BEE">
        <w:rPr>
          <w:b/>
          <w:bCs/>
        </w:rPr>
        <w:t>O</w:t>
      </w:r>
      <w:r w:rsidR="00840646">
        <w:rPr>
          <w:b/>
          <w:bCs/>
        </w:rPr>
        <w:t xml:space="preserve">ne to </w:t>
      </w:r>
      <w:r w:rsidR="00AB1BEE">
        <w:rPr>
          <w:b/>
          <w:bCs/>
        </w:rPr>
        <w:t>T</w:t>
      </w:r>
      <w:r w:rsidR="00840646">
        <w:rPr>
          <w:b/>
          <w:bCs/>
        </w:rPr>
        <w:t xml:space="preserve">wo </w:t>
      </w:r>
      <w:r w:rsidR="00AB1BEE">
        <w:rPr>
          <w:b/>
          <w:bCs/>
        </w:rPr>
        <w:t>e</w:t>
      </w:r>
      <w:r w:rsidR="00840646">
        <w:rPr>
          <w:b/>
          <w:bCs/>
        </w:rPr>
        <w:t>xperts)</w:t>
      </w:r>
    </w:p>
    <w:p w14:paraId="06A9F155" w14:textId="77777777" w:rsidR="006C55D9" w:rsidRDefault="006C55D9" w:rsidP="006C55D9">
      <w:pPr>
        <w:numPr>
          <w:ilvl w:val="0"/>
          <w:numId w:val="46"/>
        </w:numPr>
        <w:spacing w:after="0"/>
        <w:jc w:val="both"/>
      </w:pPr>
      <w:r w:rsidRPr="006C55D9">
        <w:rPr>
          <w:b/>
        </w:rPr>
        <w:t>Academic Qualification:</w:t>
      </w:r>
      <w:r w:rsidRPr="006C55D9">
        <w:t xml:space="preserve"> </w:t>
      </w:r>
    </w:p>
    <w:p w14:paraId="57CCBBF0" w14:textId="0DE433F5" w:rsidR="006C55D9" w:rsidRPr="006C55D9" w:rsidRDefault="006C55D9" w:rsidP="006C55D9">
      <w:pPr>
        <w:numPr>
          <w:ilvl w:val="1"/>
          <w:numId w:val="46"/>
        </w:numPr>
        <w:spacing w:after="0"/>
        <w:jc w:val="both"/>
      </w:pPr>
      <w:r w:rsidRPr="006C55D9">
        <w:t>Minimum of a bachelor’s degree in Corporate Finance, Business Analysis, Transaction Advisory, Investment Analysis, Investment Law, Tax, or related fields.</w:t>
      </w:r>
    </w:p>
    <w:p w14:paraId="11ED9A5B" w14:textId="77777777" w:rsidR="006C55D9" w:rsidRDefault="006C55D9" w:rsidP="006C55D9">
      <w:pPr>
        <w:numPr>
          <w:ilvl w:val="0"/>
          <w:numId w:val="46"/>
        </w:numPr>
        <w:jc w:val="both"/>
      </w:pPr>
      <w:r w:rsidRPr="006C55D9">
        <w:rPr>
          <w:b/>
        </w:rPr>
        <w:t>Experience:</w:t>
      </w:r>
      <w:r w:rsidRPr="006C55D9">
        <w:t xml:space="preserve"> </w:t>
      </w:r>
    </w:p>
    <w:p w14:paraId="6452D7ED" w14:textId="1D4C4486" w:rsidR="006C55D9" w:rsidRPr="006C55D9" w:rsidRDefault="006C55D9" w:rsidP="006C55D9">
      <w:pPr>
        <w:numPr>
          <w:ilvl w:val="1"/>
          <w:numId w:val="46"/>
        </w:numPr>
        <w:jc w:val="both"/>
      </w:pPr>
      <w:r w:rsidRPr="006C55D9">
        <w:t>5-7 years of professional experience in fund structuring, fund management, fundraising, with strong communication and presentation skills.</w:t>
      </w:r>
    </w:p>
    <w:p w14:paraId="593294F5" w14:textId="77777777" w:rsidR="006C55D9" w:rsidRPr="006C55D9" w:rsidRDefault="006C55D9" w:rsidP="006C55D9">
      <w:pPr>
        <w:numPr>
          <w:ilvl w:val="0"/>
          <w:numId w:val="46"/>
        </w:numPr>
        <w:spacing w:after="0"/>
        <w:jc w:val="both"/>
      </w:pPr>
      <w:r w:rsidRPr="006C55D9">
        <w:rPr>
          <w:b/>
        </w:rPr>
        <w:t>Competencies:</w:t>
      </w:r>
    </w:p>
    <w:p w14:paraId="0489707F" w14:textId="77777777" w:rsidR="006C55D9" w:rsidRPr="006C55D9" w:rsidRDefault="006C55D9" w:rsidP="006C55D9">
      <w:pPr>
        <w:numPr>
          <w:ilvl w:val="1"/>
          <w:numId w:val="46"/>
        </w:numPr>
        <w:spacing w:after="0"/>
        <w:jc w:val="both"/>
      </w:pPr>
      <w:r w:rsidRPr="006C55D9">
        <w:t>Ability to work under pressure and deliver timely results without compromising quality.</w:t>
      </w:r>
    </w:p>
    <w:p w14:paraId="27AD646C" w14:textId="77777777" w:rsidR="006C55D9" w:rsidRPr="006C55D9" w:rsidRDefault="006C55D9" w:rsidP="006C55D9">
      <w:pPr>
        <w:numPr>
          <w:ilvl w:val="1"/>
          <w:numId w:val="46"/>
        </w:numPr>
        <w:spacing w:after="0"/>
        <w:jc w:val="both"/>
      </w:pPr>
      <w:r w:rsidRPr="006C55D9">
        <w:t>Strong communication and interpersonal skills.</w:t>
      </w:r>
    </w:p>
    <w:p w14:paraId="71EE3205" w14:textId="04672304" w:rsidR="006C55D9" w:rsidRDefault="006C55D9" w:rsidP="006C55D9">
      <w:pPr>
        <w:numPr>
          <w:ilvl w:val="1"/>
          <w:numId w:val="46"/>
        </w:numPr>
        <w:spacing w:after="0"/>
        <w:jc w:val="both"/>
      </w:pPr>
      <w:r w:rsidRPr="006C55D9">
        <w:t>Proficiency in English.</w:t>
      </w:r>
    </w:p>
    <w:p w14:paraId="3F9EFD18" w14:textId="77777777" w:rsidR="006C55D9" w:rsidRPr="006C55D9" w:rsidRDefault="006C55D9" w:rsidP="006C55D9">
      <w:pPr>
        <w:spacing w:after="0"/>
        <w:jc w:val="both"/>
      </w:pPr>
    </w:p>
    <w:p w14:paraId="5E021C4C" w14:textId="742497FD" w:rsidR="008A0034" w:rsidRPr="00D045BC" w:rsidRDefault="008A0034" w:rsidP="00D438F9">
      <w:pPr>
        <w:pStyle w:val="ListParagraph"/>
        <w:numPr>
          <w:ilvl w:val="0"/>
          <w:numId w:val="42"/>
        </w:numPr>
        <w:spacing w:line="276" w:lineRule="auto"/>
        <w:rPr>
          <w:b/>
          <w:bCs/>
          <w:color w:val="002060"/>
        </w:rPr>
      </w:pPr>
      <w:bookmarkStart w:id="0" w:name="_Hlk165281069"/>
      <w:r w:rsidRPr="00D045BC">
        <w:rPr>
          <w:b/>
          <w:bCs/>
          <w:color w:val="002060"/>
        </w:rPr>
        <w:t xml:space="preserve">INSTITUTIONAL ARRANGEMENT / REPORTING RELATIONSHIPS   </w:t>
      </w:r>
    </w:p>
    <w:p w14:paraId="7E95788C" w14:textId="77777777" w:rsidR="00D045BC" w:rsidRDefault="00D045BC" w:rsidP="00D045BC">
      <w:pPr>
        <w:jc w:val="both"/>
        <w:rPr>
          <w:rFonts w:ascii="Calibri" w:hAnsi="Calibri" w:cs="Calibri"/>
        </w:rPr>
      </w:pPr>
      <w:r w:rsidRPr="00D045BC">
        <w:rPr>
          <w:rFonts w:ascii="Calibri" w:hAnsi="Calibri" w:cs="Calibri"/>
        </w:rPr>
        <w:lastRenderedPageBreak/>
        <w:t>The selected service provider will work with stakeholders such as financial sector regulators, financial institutions and more specifically, the IFL Secretariat will directly supervise the work of the Service Provider, and to whom the Service Provider will be directly responsible to, reporting to, seeking approval from, and obtaining certificate of acceptance of output from UNDP responsible unit.</w:t>
      </w:r>
    </w:p>
    <w:p w14:paraId="36C426DB" w14:textId="77777777" w:rsidR="00B32EC2" w:rsidRDefault="00B32EC2" w:rsidP="00D045BC">
      <w:pPr>
        <w:jc w:val="both"/>
        <w:rPr>
          <w:rFonts w:ascii="Calibri" w:hAnsi="Calibri" w:cs="Calibri"/>
        </w:rPr>
      </w:pPr>
    </w:p>
    <w:p w14:paraId="5CFF617D" w14:textId="0E842C3C" w:rsidR="00B32EC2" w:rsidRPr="001A086D" w:rsidRDefault="00B32EC2" w:rsidP="00D438F9">
      <w:pPr>
        <w:pStyle w:val="ListParagraph"/>
        <w:numPr>
          <w:ilvl w:val="0"/>
          <w:numId w:val="42"/>
        </w:numPr>
        <w:rPr>
          <w:b/>
          <w:bCs/>
          <w:color w:val="002060"/>
          <w:sz w:val="24"/>
          <w:szCs w:val="24"/>
        </w:rPr>
      </w:pPr>
      <w:r w:rsidRPr="001A086D">
        <w:rPr>
          <w:b/>
          <w:bCs/>
          <w:color w:val="002060"/>
          <w:sz w:val="24"/>
          <w:szCs w:val="24"/>
        </w:rPr>
        <w:t>THE ROLE OF UNDP</w:t>
      </w:r>
      <w:r w:rsidR="67589E4A" w:rsidRPr="001A086D">
        <w:rPr>
          <w:b/>
          <w:bCs/>
          <w:color w:val="002060"/>
          <w:sz w:val="24"/>
          <w:szCs w:val="24"/>
        </w:rPr>
        <w:t xml:space="preserve"> (</w:t>
      </w:r>
      <w:r w:rsidR="001A086D">
        <w:rPr>
          <w:b/>
          <w:bCs/>
          <w:color w:val="002060"/>
          <w:sz w:val="24"/>
          <w:szCs w:val="24"/>
        </w:rPr>
        <w:t>T</w:t>
      </w:r>
      <w:r w:rsidR="006D39F9">
        <w:rPr>
          <w:b/>
          <w:bCs/>
          <w:color w:val="002060"/>
          <w:sz w:val="24"/>
          <w:szCs w:val="24"/>
        </w:rPr>
        <w:t>HE</w:t>
      </w:r>
      <w:r w:rsidR="001A086D">
        <w:rPr>
          <w:b/>
          <w:bCs/>
          <w:color w:val="002060"/>
          <w:sz w:val="24"/>
          <w:szCs w:val="24"/>
        </w:rPr>
        <w:t xml:space="preserve"> </w:t>
      </w:r>
      <w:r w:rsidR="67589E4A" w:rsidRPr="001A086D">
        <w:rPr>
          <w:b/>
          <w:bCs/>
          <w:color w:val="002060"/>
          <w:sz w:val="24"/>
          <w:szCs w:val="24"/>
        </w:rPr>
        <w:t>IFL)</w:t>
      </w:r>
    </w:p>
    <w:p w14:paraId="3F9E4AE8" w14:textId="77777777" w:rsidR="001A086D" w:rsidRDefault="001A086D" w:rsidP="001A086D">
      <w:pPr>
        <w:jc w:val="both"/>
      </w:pPr>
      <w:r w:rsidRPr="001A086D">
        <w:t>The primary role of the UNDP (</w:t>
      </w:r>
      <w:r>
        <w:t xml:space="preserve">The </w:t>
      </w:r>
      <w:r w:rsidRPr="001A086D">
        <w:t xml:space="preserve">IFL) is to provide the fund with a robust pipeline of investment projects ranging from startups to SMEs and to conduct initial due diligence of these investments through its technical assistance facility. </w:t>
      </w:r>
    </w:p>
    <w:p w14:paraId="54DC01A8" w14:textId="05FC6AEA" w:rsidR="001A086D" w:rsidRPr="001A086D" w:rsidRDefault="001A086D" w:rsidP="001A086D">
      <w:pPr>
        <w:jc w:val="both"/>
      </w:pPr>
      <w:r w:rsidRPr="001A086D">
        <w:t>The final decision to invest will rest solely with the fund manager, supported by the investment committee, based on agreed investment guidelines.</w:t>
      </w:r>
    </w:p>
    <w:p w14:paraId="1738769B" w14:textId="77777777" w:rsidR="001A086D" w:rsidRPr="001A086D" w:rsidRDefault="001A086D" w:rsidP="001A086D">
      <w:pPr>
        <w:jc w:val="both"/>
      </w:pPr>
      <w:r w:rsidRPr="001A086D">
        <w:t>In supporting the objectives of the Fund, the UNDP (IFL) will:</w:t>
      </w:r>
    </w:p>
    <w:p w14:paraId="6C2AD35A" w14:textId="77777777" w:rsidR="001A086D" w:rsidRPr="001A086D" w:rsidRDefault="001A086D" w:rsidP="001A086D">
      <w:pPr>
        <w:numPr>
          <w:ilvl w:val="0"/>
          <w:numId w:val="47"/>
        </w:numPr>
        <w:spacing w:after="0"/>
        <w:jc w:val="both"/>
      </w:pPr>
      <w:r w:rsidRPr="001A086D">
        <w:t>Act in an advisory capacity to the Fund Manager.</w:t>
      </w:r>
    </w:p>
    <w:p w14:paraId="41FB02A1" w14:textId="77777777" w:rsidR="001A086D" w:rsidRPr="001A086D" w:rsidRDefault="001A086D" w:rsidP="001A086D">
      <w:pPr>
        <w:numPr>
          <w:ilvl w:val="0"/>
          <w:numId w:val="47"/>
        </w:numPr>
        <w:spacing w:after="0"/>
        <w:jc w:val="both"/>
      </w:pPr>
      <w:r w:rsidRPr="001A086D">
        <w:t>Serve as an observer on the Investment Committee without voting rights or involvement in fund management decisions.</w:t>
      </w:r>
    </w:p>
    <w:p w14:paraId="55A0B9B9" w14:textId="77777777" w:rsidR="001A086D" w:rsidRPr="001A086D" w:rsidRDefault="001A086D" w:rsidP="001A086D">
      <w:pPr>
        <w:numPr>
          <w:ilvl w:val="0"/>
          <w:numId w:val="47"/>
        </w:numPr>
        <w:spacing w:after="0"/>
        <w:jc w:val="both"/>
      </w:pPr>
      <w:r w:rsidRPr="001A086D">
        <w:t>Manage the technical assistance (TA) facility directly and raise additional grant resources for this purpose. The interaction between the TA facility and the Fund will be detailed once the fund manager is in place.</w:t>
      </w:r>
    </w:p>
    <w:p w14:paraId="74170497" w14:textId="77777777" w:rsidR="001A086D" w:rsidRDefault="001A086D" w:rsidP="001A086D">
      <w:pPr>
        <w:jc w:val="both"/>
      </w:pPr>
    </w:p>
    <w:p w14:paraId="1201C2E1" w14:textId="476E78A4" w:rsidR="001A086D" w:rsidRPr="001A086D" w:rsidRDefault="001A086D" w:rsidP="001A086D">
      <w:pPr>
        <w:jc w:val="both"/>
      </w:pPr>
      <w:r w:rsidRPr="001A086D">
        <w:t>Additionally, the UNDP will:</w:t>
      </w:r>
    </w:p>
    <w:p w14:paraId="689DEEF4" w14:textId="77777777" w:rsidR="001A086D" w:rsidRPr="001A086D" w:rsidRDefault="001A086D" w:rsidP="001A086D">
      <w:pPr>
        <w:numPr>
          <w:ilvl w:val="0"/>
          <w:numId w:val="48"/>
        </w:numPr>
        <w:tabs>
          <w:tab w:val="num" w:pos="720"/>
        </w:tabs>
        <w:spacing w:after="0"/>
        <w:jc w:val="both"/>
      </w:pPr>
      <w:r w:rsidRPr="001A086D">
        <w:t>Cover the costs associated with setting up the Fund, directly payable to the selected fund manager.</w:t>
      </w:r>
    </w:p>
    <w:p w14:paraId="0DE4EFD8" w14:textId="77777777" w:rsidR="001A086D" w:rsidRPr="001A086D" w:rsidRDefault="001A086D" w:rsidP="001A086D">
      <w:pPr>
        <w:numPr>
          <w:ilvl w:val="0"/>
          <w:numId w:val="48"/>
        </w:numPr>
        <w:tabs>
          <w:tab w:val="num" w:pos="720"/>
        </w:tabs>
        <w:spacing w:after="0"/>
        <w:jc w:val="both"/>
      </w:pPr>
      <w:r w:rsidRPr="001A086D">
        <w:t>Refrain from any active role in the Fund's operations or assume any financial and non-financial commitments or risks once the Fund is established.</w:t>
      </w:r>
    </w:p>
    <w:p w14:paraId="22D1E5D9" w14:textId="77777777" w:rsidR="001A086D" w:rsidRPr="001A086D" w:rsidRDefault="001A086D" w:rsidP="001A086D">
      <w:pPr>
        <w:numPr>
          <w:ilvl w:val="0"/>
          <w:numId w:val="48"/>
        </w:numPr>
        <w:tabs>
          <w:tab w:val="num" w:pos="720"/>
        </w:tabs>
        <w:spacing w:after="0"/>
        <w:jc w:val="both"/>
      </w:pPr>
      <w:r w:rsidRPr="001A086D">
        <w:t>Limit its role to providing the initial financing necessary to establish the Fund as a legal entity.</w:t>
      </w:r>
    </w:p>
    <w:p w14:paraId="6BFCD189" w14:textId="77777777" w:rsidR="00B32EC2" w:rsidRPr="00D045BC" w:rsidRDefault="00B32EC2" w:rsidP="00D045BC">
      <w:pPr>
        <w:jc w:val="both"/>
        <w:rPr>
          <w:rFonts w:ascii="Calibri" w:hAnsi="Calibri" w:cs="Calibri"/>
        </w:rPr>
      </w:pPr>
    </w:p>
    <w:p w14:paraId="573A3B31" w14:textId="697E643B" w:rsidR="00D82F27" w:rsidRDefault="00CD336D" w:rsidP="00D438F9">
      <w:pPr>
        <w:pStyle w:val="ListParagraph"/>
        <w:numPr>
          <w:ilvl w:val="0"/>
          <w:numId w:val="42"/>
        </w:numPr>
        <w:jc w:val="both"/>
        <w:rPr>
          <w:b/>
          <w:bCs/>
          <w:color w:val="002060"/>
        </w:rPr>
      </w:pPr>
      <w:r w:rsidRPr="00CD336D">
        <w:rPr>
          <w:b/>
          <w:bCs/>
          <w:color w:val="002060"/>
        </w:rPr>
        <w:t xml:space="preserve">LOCATION </w:t>
      </w:r>
      <w:r w:rsidR="005E2DA3">
        <w:rPr>
          <w:b/>
          <w:bCs/>
          <w:color w:val="002060"/>
        </w:rPr>
        <w:t>AND</w:t>
      </w:r>
      <w:r>
        <w:rPr>
          <w:b/>
          <w:bCs/>
          <w:color w:val="002060"/>
        </w:rPr>
        <w:t xml:space="preserve"> </w:t>
      </w:r>
      <w:r w:rsidRPr="00CD336D">
        <w:rPr>
          <w:b/>
          <w:bCs/>
          <w:color w:val="002060"/>
        </w:rPr>
        <w:t>DURATION</w:t>
      </w:r>
    </w:p>
    <w:p w14:paraId="0C0693CB" w14:textId="6581A185" w:rsidR="004A5A14" w:rsidRPr="00D045BC" w:rsidRDefault="004A5A14" w:rsidP="00CD336D">
      <w:pPr>
        <w:jc w:val="both"/>
      </w:pPr>
      <w:r w:rsidRPr="004A5A14">
        <w:t xml:space="preserve">The </w:t>
      </w:r>
      <w:r w:rsidR="4A8AEDD9">
        <w:t xml:space="preserve">assignment's </w:t>
      </w:r>
      <w:r w:rsidRPr="004A5A14">
        <w:t xml:space="preserve">overall duration </w:t>
      </w:r>
      <w:r w:rsidR="00D57051">
        <w:t xml:space="preserve">is for an estimated period </w:t>
      </w:r>
      <w:r w:rsidRPr="004A5A14">
        <w:t>of</w:t>
      </w:r>
      <w:r w:rsidR="00D57051">
        <w:t xml:space="preserve"> four to</w:t>
      </w:r>
      <w:r w:rsidRPr="004A5A14">
        <w:t xml:space="preserve"> </w:t>
      </w:r>
      <w:r w:rsidR="0C2A61A1">
        <w:t>six</w:t>
      </w:r>
      <w:r w:rsidRPr="004A5A14">
        <w:t xml:space="preserve"> months, conducted as a home-based assignment with expected travel to Addis Ababa. All travel and logistics costs are to be covered by the service provider. Therefore, the financial proposal should be presented as a lump sum, inclusive of all travel, logistics, and other associated costs.</w:t>
      </w:r>
    </w:p>
    <w:bookmarkEnd w:id="0"/>
    <w:p w14:paraId="21B90C7C" w14:textId="37D0903D" w:rsidR="00840646" w:rsidRPr="00840646" w:rsidRDefault="00840646" w:rsidP="00D438F9">
      <w:pPr>
        <w:pStyle w:val="ListParagraph"/>
        <w:numPr>
          <w:ilvl w:val="0"/>
          <w:numId w:val="42"/>
        </w:numPr>
        <w:jc w:val="both"/>
        <w:rPr>
          <w:b/>
          <w:bCs/>
          <w:color w:val="002060"/>
        </w:rPr>
      </w:pPr>
      <w:r w:rsidRPr="00840646">
        <w:rPr>
          <w:b/>
          <w:bCs/>
          <w:color w:val="002060"/>
        </w:rPr>
        <w:t xml:space="preserve">CRITERIA FOR SELECTING THE BEST OFFER </w:t>
      </w:r>
    </w:p>
    <w:p w14:paraId="46FDAC30" w14:textId="2C0379B1" w:rsidR="006532FE" w:rsidRDefault="006532FE" w:rsidP="006532FE">
      <w:pPr>
        <w:jc w:val="both"/>
      </w:pPr>
      <w:r>
        <w:t xml:space="preserve">Upon the advertisement of the Procurement Notice, </w:t>
      </w:r>
      <w:r w:rsidR="00C8133F">
        <w:t xml:space="preserve">the </w:t>
      </w:r>
      <w:r>
        <w:t xml:space="preserve">qualified </w:t>
      </w:r>
      <w:r w:rsidR="00C8133F">
        <w:t xml:space="preserve">fund management </w:t>
      </w:r>
      <w:r>
        <w:t xml:space="preserve">Firm is expected to submit both the Technical and Financial Proposals. </w:t>
      </w:r>
      <w:r w:rsidR="00443CCD">
        <w:t>Accordingly,</w:t>
      </w:r>
      <w:r>
        <w:t xml:space="preserve"> the firm will be evaluated based on Cumulative Analysis as per the following conditions: </w:t>
      </w:r>
    </w:p>
    <w:p w14:paraId="23DC0B9D" w14:textId="77777777" w:rsidR="006532FE" w:rsidRDefault="006532FE" w:rsidP="006532FE">
      <w:pPr>
        <w:pStyle w:val="ListParagraph"/>
        <w:numPr>
          <w:ilvl w:val="0"/>
          <w:numId w:val="24"/>
        </w:numPr>
        <w:jc w:val="both"/>
      </w:pPr>
      <w:r>
        <w:lastRenderedPageBreak/>
        <w:t xml:space="preserve">Responsive/compliant/acceptable as per the Instruction to Bidders (ITB) of the Standard Bid Document (SBD), and </w:t>
      </w:r>
    </w:p>
    <w:p w14:paraId="2916C4C6" w14:textId="77777777" w:rsidR="006532FE" w:rsidRDefault="006532FE" w:rsidP="006532FE">
      <w:pPr>
        <w:pStyle w:val="ListParagraph"/>
        <w:numPr>
          <w:ilvl w:val="0"/>
          <w:numId w:val="24"/>
        </w:numPr>
        <w:jc w:val="both"/>
      </w:pPr>
      <w:r>
        <w:t xml:space="preserve">Having received the highest score out of a pre-determined set of weighted technical and financial criteria specific to the solicitation. In this regard, the respective weight of the proposals </w:t>
      </w:r>
      <w:proofErr w:type="gramStart"/>
      <w:r>
        <w:t>are</w:t>
      </w:r>
      <w:proofErr w:type="gramEnd"/>
      <w:r>
        <w:t xml:space="preserve">: </w:t>
      </w:r>
    </w:p>
    <w:p w14:paraId="0A93B74C" w14:textId="77777777" w:rsidR="006532FE" w:rsidRDefault="006532FE" w:rsidP="006532FE">
      <w:pPr>
        <w:pStyle w:val="ListParagraph"/>
        <w:numPr>
          <w:ilvl w:val="0"/>
          <w:numId w:val="25"/>
        </w:numPr>
        <w:jc w:val="both"/>
      </w:pPr>
      <w:r>
        <w:t xml:space="preserve">Technical Criteria weight is 70% </w:t>
      </w:r>
    </w:p>
    <w:p w14:paraId="48E5CBF1" w14:textId="3AE8A877" w:rsidR="00840646" w:rsidRDefault="006532FE" w:rsidP="006532FE">
      <w:pPr>
        <w:pStyle w:val="ListParagraph"/>
        <w:numPr>
          <w:ilvl w:val="0"/>
          <w:numId w:val="25"/>
        </w:numPr>
        <w:jc w:val="both"/>
      </w:pPr>
      <w:r>
        <w:t>Financial Criteria weight is 30%</w:t>
      </w:r>
    </w:p>
    <w:p w14:paraId="12662871" w14:textId="77777777" w:rsidR="006532FE" w:rsidRDefault="006532FE" w:rsidP="006532FE">
      <w:pPr>
        <w:pStyle w:val="ListParagraph"/>
        <w:ind w:left="1440"/>
        <w:jc w:val="both"/>
      </w:pPr>
    </w:p>
    <w:p w14:paraId="6D38D1AD" w14:textId="0D270A65" w:rsidR="006532FE" w:rsidRDefault="006532FE" w:rsidP="00D438F9">
      <w:pPr>
        <w:pStyle w:val="ListParagraph"/>
        <w:numPr>
          <w:ilvl w:val="0"/>
          <w:numId w:val="42"/>
        </w:numPr>
        <w:jc w:val="both"/>
        <w:rPr>
          <w:b/>
          <w:bCs/>
          <w:color w:val="002060"/>
        </w:rPr>
      </w:pPr>
      <w:r w:rsidRPr="006532FE">
        <w:rPr>
          <w:b/>
          <w:bCs/>
          <w:color w:val="002060"/>
        </w:rPr>
        <w:t>PROPOSED STANDARD TECHNICAL PROPOSAL EVALUATION CRITERIA</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172"/>
        <w:gridCol w:w="1719"/>
        <w:gridCol w:w="1530"/>
      </w:tblGrid>
      <w:tr w:rsidR="006532FE" w:rsidRPr="00641BDC" w14:paraId="5732E53F" w14:textId="77777777">
        <w:trPr>
          <w:trHeight w:val="480"/>
        </w:trPr>
        <w:tc>
          <w:tcPr>
            <w:tcW w:w="6126" w:type="dxa"/>
            <w:gridSpan w:val="2"/>
            <w:shd w:val="clear" w:color="auto" w:fill="CCCCFF"/>
            <w:hideMark/>
          </w:tcPr>
          <w:p w14:paraId="1B1C8C64"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xml:space="preserve">Summary of Technical Proposal Evaluation </w:t>
            </w:r>
          </w:p>
        </w:tc>
        <w:tc>
          <w:tcPr>
            <w:tcW w:w="1719" w:type="dxa"/>
            <w:shd w:val="clear" w:color="auto" w:fill="CCCCFF"/>
            <w:vAlign w:val="center"/>
            <w:hideMark/>
          </w:tcPr>
          <w:p w14:paraId="31429865"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Score Weight</w:t>
            </w:r>
          </w:p>
        </w:tc>
        <w:tc>
          <w:tcPr>
            <w:tcW w:w="1530" w:type="dxa"/>
            <w:shd w:val="clear" w:color="auto" w:fill="CCCCFF"/>
            <w:vAlign w:val="center"/>
            <w:hideMark/>
          </w:tcPr>
          <w:p w14:paraId="62DD19C7"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xml:space="preserve">Points Obtainable </w:t>
            </w:r>
          </w:p>
        </w:tc>
      </w:tr>
      <w:tr w:rsidR="006532FE" w:rsidRPr="00641BDC" w14:paraId="14D3B263" w14:textId="77777777">
        <w:trPr>
          <w:trHeight w:val="240"/>
        </w:trPr>
        <w:tc>
          <w:tcPr>
            <w:tcW w:w="954" w:type="dxa"/>
            <w:shd w:val="clear" w:color="auto" w:fill="auto"/>
            <w:hideMark/>
          </w:tcPr>
          <w:p w14:paraId="569188B0"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1</w:t>
            </w:r>
          </w:p>
        </w:tc>
        <w:tc>
          <w:tcPr>
            <w:tcW w:w="5172" w:type="dxa"/>
            <w:shd w:val="clear" w:color="auto" w:fill="auto"/>
            <w:hideMark/>
          </w:tcPr>
          <w:p w14:paraId="2835A9DF" w14:textId="447128D6" w:rsidR="006532FE" w:rsidRPr="00D34CC5" w:rsidRDefault="006532FE">
            <w:pPr>
              <w:tabs>
                <w:tab w:val="center" w:pos="4680"/>
              </w:tabs>
            </w:pPr>
            <w:r>
              <w:t>Expertise of Firm / Organization</w:t>
            </w:r>
          </w:p>
        </w:tc>
        <w:tc>
          <w:tcPr>
            <w:tcW w:w="1719" w:type="dxa"/>
            <w:shd w:val="clear" w:color="auto" w:fill="auto"/>
            <w:hideMark/>
          </w:tcPr>
          <w:p w14:paraId="2DC29300" w14:textId="0D4BE3C3" w:rsidR="006532FE" w:rsidRPr="00641BDC" w:rsidRDefault="006532FE">
            <w:pPr>
              <w:spacing w:after="0" w:line="276" w:lineRule="auto"/>
              <w:jc w:val="both"/>
              <w:rPr>
                <w:rFonts w:eastAsia="Times New Roman" w:cstheme="minorHAnsi"/>
                <w:color w:val="000000"/>
                <w:sz w:val="20"/>
                <w:szCs w:val="20"/>
                <w:lang w:val="en-GB"/>
              </w:rPr>
            </w:pPr>
            <w:r>
              <w:rPr>
                <w:rFonts w:eastAsia="Times New Roman" w:cstheme="minorHAnsi"/>
                <w:color w:val="000000"/>
                <w:sz w:val="20"/>
                <w:szCs w:val="20"/>
                <w:lang w:val="en-GB"/>
              </w:rPr>
              <w:t>35</w:t>
            </w:r>
            <w:r w:rsidRPr="00641BDC">
              <w:rPr>
                <w:rFonts w:eastAsia="Times New Roman" w:cstheme="minorHAnsi"/>
                <w:color w:val="000000"/>
                <w:sz w:val="20"/>
                <w:szCs w:val="20"/>
                <w:lang w:val="en-GB"/>
              </w:rPr>
              <w:t>%</w:t>
            </w:r>
          </w:p>
        </w:tc>
        <w:tc>
          <w:tcPr>
            <w:tcW w:w="1530" w:type="dxa"/>
            <w:shd w:val="clear" w:color="auto" w:fill="auto"/>
            <w:hideMark/>
          </w:tcPr>
          <w:p w14:paraId="1C8E2950" w14:textId="124811ED" w:rsidR="006532FE" w:rsidRPr="00641BDC" w:rsidRDefault="006532FE">
            <w:pPr>
              <w:spacing w:after="0" w:line="276" w:lineRule="auto"/>
              <w:jc w:val="both"/>
              <w:rPr>
                <w:rFonts w:eastAsia="Times New Roman" w:cstheme="minorHAnsi"/>
                <w:color w:val="000000"/>
                <w:sz w:val="20"/>
                <w:szCs w:val="20"/>
                <w:lang w:val="en-GB"/>
              </w:rPr>
            </w:pPr>
            <w:r>
              <w:rPr>
                <w:rFonts w:eastAsia="Times New Roman" w:cstheme="minorHAnsi"/>
                <w:color w:val="000000"/>
                <w:sz w:val="20"/>
                <w:szCs w:val="20"/>
                <w:lang w:val="en-GB"/>
              </w:rPr>
              <w:t>350</w:t>
            </w:r>
          </w:p>
        </w:tc>
      </w:tr>
      <w:tr w:rsidR="006532FE" w:rsidRPr="00641BDC" w14:paraId="16A56836" w14:textId="77777777">
        <w:trPr>
          <w:trHeight w:val="240"/>
        </w:trPr>
        <w:tc>
          <w:tcPr>
            <w:tcW w:w="954" w:type="dxa"/>
            <w:shd w:val="clear" w:color="auto" w:fill="auto"/>
            <w:hideMark/>
          </w:tcPr>
          <w:p w14:paraId="186F4F04"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2</w:t>
            </w:r>
          </w:p>
        </w:tc>
        <w:tc>
          <w:tcPr>
            <w:tcW w:w="5172" w:type="dxa"/>
            <w:shd w:val="clear" w:color="auto" w:fill="auto"/>
            <w:hideMark/>
          </w:tcPr>
          <w:p w14:paraId="01371823" w14:textId="6D3DB435" w:rsidR="006532FE" w:rsidRPr="00AE48A4" w:rsidRDefault="006532FE">
            <w:pPr>
              <w:tabs>
                <w:tab w:val="center" w:pos="4680"/>
              </w:tabs>
            </w:pPr>
            <w:r>
              <w:t>Proposed Methodology, Approach and Implementation Plan</w:t>
            </w:r>
          </w:p>
        </w:tc>
        <w:tc>
          <w:tcPr>
            <w:tcW w:w="1719" w:type="dxa"/>
            <w:shd w:val="clear" w:color="auto" w:fill="auto"/>
            <w:hideMark/>
          </w:tcPr>
          <w:p w14:paraId="39A5955C" w14:textId="2D20EA89" w:rsidR="006532FE" w:rsidRPr="00641BDC" w:rsidRDefault="006532FE">
            <w:pPr>
              <w:spacing w:after="0" w:line="276" w:lineRule="auto"/>
              <w:jc w:val="both"/>
              <w:rPr>
                <w:rFonts w:eastAsia="Times New Roman" w:cstheme="minorHAnsi"/>
                <w:color w:val="000000"/>
                <w:sz w:val="20"/>
                <w:szCs w:val="20"/>
                <w:lang w:val="en-GB"/>
              </w:rPr>
            </w:pPr>
            <w:r>
              <w:rPr>
                <w:rFonts w:eastAsia="Times New Roman" w:cstheme="minorHAnsi"/>
                <w:color w:val="000000"/>
                <w:sz w:val="20"/>
                <w:szCs w:val="20"/>
                <w:lang w:val="en-GB"/>
              </w:rPr>
              <w:t>40</w:t>
            </w:r>
            <w:r w:rsidRPr="00641BDC">
              <w:rPr>
                <w:rFonts w:eastAsia="Times New Roman" w:cstheme="minorHAnsi"/>
                <w:color w:val="000000"/>
                <w:sz w:val="20"/>
                <w:szCs w:val="20"/>
                <w:lang w:val="en-GB"/>
              </w:rPr>
              <w:t>%</w:t>
            </w:r>
          </w:p>
        </w:tc>
        <w:tc>
          <w:tcPr>
            <w:tcW w:w="1530" w:type="dxa"/>
            <w:shd w:val="clear" w:color="auto" w:fill="auto"/>
            <w:hideMark/>
          </w:tcPr>
          <w:p w14:paraId="205FCF6E" w14:textId="57154311" w:rsidR="006532FE" w:rsidRPr="00641BDC" w:rsidRDefault="006532FE">
            <w:pPr>
              <w:spacing w:after="0" w:line="276" w:lineRule="auto"/>
              <w:jc w:val="both"/>
              <w:rPr>
                <w:rFonts w:eastAsia="Times New Roman" w:cstheme="minorHAnsi"/>
                <w:color w:val="000000"/>
                <w:sz w:val="20"/>
                <w:szCs w:val="20"/>
                <w:lang w:val="en-GB"/>
              </w:rPr>
            </w:pPr>
            <w:r>
              <w:rPr>
                <w:rFonts w:eastAsia="Times New Roman" w:cstheme="minorHAnsi"/>
                <w:color w:val="000000"/>
                <w:sz w:val="20"/>
                <w:szCs w:val="20"/>
                <w:lang w:val="en-GB"/>
              </w:rPr>
              <w:t>400</w:t>
            </w:r>
          </w:p>
        </w:tc>
      </w:tr>
      <w:tr w:rsidR="006532FE" w:rsidRPr="00641BDC" w14:paraId="2B627114" w14:textId="77777777">
        <w:trPr>
          <w:trHeight w:val="240"/>
        </w:trPr>
        <w:tc>
          <w:tcPr>
            <w:tcW w:w="954" w:type="dxa"/>
            <w:shd w:val="clear" w:color="auto" w:fill="auto"/>
            <w:hideMark/>
          </w:tcPr>
          <w:p w14:paraId="629B8A66"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3</w:t>
            </w:r>
          </w:p>
        </w:tc>
        <w:tc>
          <w:tcPr>
            <w:tcW w:w="5172" w:type="dxa"/>
            <w:shd w:val="clear" w:color="auto" w:fill="auto"/>
            <w:hideMark/>
          </w:tcPr>
          <w:p w14:paraId="04196065" w14:textId="4520FBBE" w:rsidR="006532FE" w:rsidRDefault="006532FE">
            <w:pPr>
              <w:tabs>
                <w:tab w:val="center" w:pos="4680"/>
              </w:tabs>
            </w:pPr>
            <w:r>
              <w:t>Management Structure and Key Personnel</w:t>
            </w:r>
          </w:p>
          <w:p w14:paraId="5C93C766" w14:textId="77777777" w:rsidR="006532FE" w:rsidRPr="00641BDC" w:rsidRDefault="006532FE">
            <w:pPr>
              <w:spacing w:after="0" w:line="276" w:lineRule="auto"/>
              <w:jc w:val="both"/>
              <w:rPr>
                <w:rFonts w:eastAsia="Times New Roman" w:cstheme="minorHAnsi"/>
                <w:color w:val="000000"/>
                <w:sz w:val="20"/>
                <w:szCs w:val="20"/>
                <w:lang w:val="en-GB"/>
              </w:rPr>
            </w:pPr>
          </w:p>
        </w:tc>
        <w:tc>
          <w:tcPr>
            <w:tcW w:w="1719" w:type="dxa"/>
            <w:shd w:val="clear" w:color="auto" w:fill="auto"/>
            <w:hideMark/>
          </w:tcPr>
          <w:p w14:paraId="2C55838D" w14:textId="77777777" w:rsidR="006532FE" w:rsidRPr="00641BDC" w:rsidRDefault="006532FE">
            <w:pPr>
              <w:spacing w:after="0" w:line="276" w:lineRule="auto"/>
              <w:jc w:val="both"/>
              <w:rPr>
                <w:rFonts w:eastAsia="Times New Roman" w:cstheme="minorHAnsi"/>
                <w:color w:val="000000"/>
                <w:sz w:val="20"/>
                <w:szCs w:val="20"/>
                <w:lang w:val="en-GB"/>
              </w:rPr>
            </w:pPr>
            <w:r>
              <w:rPr>
                <w:rFonts w:eastAsia="Times New Roman" w:cstheme="minorHAnsi"/>
                <w:color w:val="000000"/>
                <w:sz w:val="20"/>
                <w:szCs w:val="20"/>
                <w:lang w:val="en-GB"/>
              </w:rPr>
              <w:t>25</w:t>
            </w:r>
            <w:r w:rsidRPr="00641BDC">
              <w:rPr>
                <w:rFonts w:eastAsia="Times New Roman" w:cstheme="minorHAnsi"/>
                <w:color w:val="000000"/>
                <w:sz w:val="20"/>
                <w:szCs w:val="20"/>
                <w:lang w:val="en-GB"/>
              </w:rPr>
              <w:t>%</w:t>
            </w:r>
          </w:p>
        </w:tc>
        <w:tc>
          <w:tcPr>
            <w:tcW w:w="1530" w:type="dxa"/>
            <w:shd w:val="clear" w:color="auto" w:fill="auto"/>
            <w:hideMark/>
          </w:tcPr>
          <w:p w14:paraId="67A4767C" w14:textId="77777777" w:rsidR="006532FE" w:rsidRPr="00641BDC" w:rsidRDefault="006532FE">
            <w:pPr>
              <w:spacing w:after="0" w:line="276" w:lineRule="auto"/>
              <w:jc w:val="both"/>
              <w:rPr>
                <w:rFonts w:eastAsia="Times New Roman" w:cstheme="minorHAnsi"/>
                <w:color w:val="000000"/>
                <w:sz w:val="20"/>
                <w:szCs w:val="20"/>
                <w:lang w:val="en-GB"/>
              </w:rPr>
            </w:pPr>
            <w:r>
              <w:rPr>
                <w:rFonts w:eastAsia="Times New Roman" w:cstheme="minorHAnsi"/>
                <w:color w:val="000000"/>
                <w:sz w:val="20"/>
                <w:szCs w:val="20"/>
                <w:lang w:val="en-GB"/>
              </w:rPr>
              <w:t>250</w:t>
            </w:r>
          </w:p>
        </w:tc>
      </w:tr>
      <w:tr w:rsidR="006532FE" w:rsidRPr="00641BDC" w14:paraId="360E12F8" w14:textId="77777777">
        <w:trPr>
          <w:trHeight w:val="240"/>
        </w:trPr>
        <w:tc>
          <w:tcPr>
            <w:tcW w:w="954" w:type="dxa"/>
            <w:shd w:val="clear" w:color="auto" w:fill="CCFF33"/>
            <w:hideMark/>
          </w:tcPr>
          <w:p w14:paraId="7A98D3AB"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w:t>
            </w:r>
          </w:p>
        </w:tc>
        <w:tc>
          <w:tcPr>
            <w:tcW w:w="5172" w:type="dxa"/>
            <w:shd w:val="clear" w:color="auto" w:fill="CCFF33"/>
            <w:hideMark/>
          </w:tcPr>
          <w:p w14:paraId="53FD4B4B"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xml:space="preserve">T O T A L </w:t>
            </w:r>
          </w:p>
        </w:tc>
        <w:tc>
          <w:tcPr>
            <w:tcW w:w="1719" w:type="dxa"/>
            <w:shd w:val="clear" w:color="auto" w:fill="CCFF33"/>
            <w:noWrap/>
            <w:vAlign w:val="bottom"/>
            <w:hideMark/>
          </w:tcPr>
          <w:p w14:paraId="373E65F9"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100%</w:t>
            </w:r>
          </w:p>
        </w:tc>
        <w:tc>
          <w:tcPr>
            <w:tcW w:w="1530" w:type="dxa"/>
            <w:shd w:val="clear" w:color="auto" w:fill="CCFF33"/>
            <w:hideMark/>
          </w:tcPr>
          <w:p w14:paraId="6FDAC03F"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1000</w:t>
            </w:r>
          </w:p>
        </w:tc>
      </w:tr>
      <w:tr w:rsidR="006532FE" w:rsidRPr="00641BDC" w14:paraId="51DC084E" w14:textId="77777777">
        <w:trPr>
          <w:trHeight w:val="480"/>
        </w:trPr>
        <w:tc>
          <w:tcPr>
            <w:tcW w:w="7845" w:type="dxa"/>
            <w:gridSpan w:val="3"/>
            <w:shd w:val="clear" w:color="auto" w:fill="CCCCFF"/>
            <w:vAlign w:val="center"/>
            <w:hideMark/>
          </w:tcPr>
          <w:p w14:paraId="68C4C157" w14:textId="034A3C97" w:rsidR="006532FE" w:rsidRPr="001D0E6C" w:rsidRDefault="006532FE">
            <w:pPr>
              <w:spacing w:after="0" w:line="276" w:lineRule="auto"/>
              <w:jc w:val="both"/>
              <w:rPr>
                <w:rFonts w:eastAsia="Times New Roman" w:cstheme="minorHAnsi"/>
                <w:b/>
                <w:bCs/>
                <w:color w:val="000000"/>
                <w:sz w:val="20"/>
                <w:szCs w:val="20"/>
                <w:lang w:val="en-GB"/>
              </w:rPr>
            </w:pPr>
            <w:r>
              <w:rPr>
                <w:b/>
                <w:bCs/>
              </w:rPr>
              <w:t>Expertise of the Firm/Organization</w:t>
            </w:r>
          </w:p>
        </w:tc>
        <w:tc>
          <w:tcPr>
            <w:tcW w:w="1530" w:type="dxa"/>
            <w:shd w:val="clear" w:color="auto" w:fill="CCCCFF"/>
            <w:vAlign w:val="center"/>
            <w:hideMark/>
          </w:tcPr>
          <w:p w14:paraId="5F3A1247"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Points Obtainable</w:t>
            </w:r>
          </w:p>
        </w:tc>
      </w:tr>
      <w:tr w:rsidR="006532FE" w:rsidRPr="00641BDC" w14:paraId="2CF055BE" w14:textId="77777777">
        <w:trPr>
          <w:trHeight w:val="480"/>
        </w:trPr>
        <w:tc>
          <w:tcPr>
            <w:tcW w:w="954" w:type="dxa"/>
            <w:shd w:val="clear" w:color="auto" w:fill="auto"/>
            <w:hideMark/>
          </w:tcPr>
          <w:p w14:paraId="0137825D"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1.1</w:t>
            </w:r>
          </w:p>
        </w:tc>
        <w:tc>
          <w:tcPr>
            <w:tcW w:w="6891" w:type="dxa"/>
            <w:gridSpan w:val="2"/>
            <w:shd w:val="clear" w:color="auto" w:fill="auto"/>
            <w:hideMark/>
          </w:tcPr>
          <w:p w14:paraId="4990DE16"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Reputation of Organization and Staff / Credibility / Reliability / Industry Standing </w:t>
            </w:r>
          </w:p>
        </w:tc>
        <w:tc>
          <w:tcPr>
            <w:tcW w:w="1530" w:type="dxa"/>
            <w:shd w:val="clear" w:color="auto" w:fill="auto"/>
          </w:tcPr>
          <w:p w14:paraId="55A4C397" w14:textId="5F9CD04A"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50</w:t>
            </w:r>
          </w:p>
        </w:tc>
      </w:tr>
      <w:tr w:rsidR="006532FE" w:rsidRPr="00641BDC" w14:paraId="7091D960" w14:textId="77777777">
        <w:trPr>
          <w:trHeight w:val="240"/>
        </w:trPr>
        <w:tc>
          <w:tcPr>
            <w:tcW w:w="954" w:type="dxa"/>
            <w:vMerge w:val="restart"/>
            <w:shd w:val="clear" w:color="auto" w:fill="auto"/>
            <w:hideMark/>
          </w:tcPr>
          <w:p w14:paraId="1B16245B"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1.2</w:t>
            </w:r>
          </w:p>
          <w:p w14:paraId="3B7D71BA"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w:t>
            </w:r>
          </w:p>
          <w:p w14:paraId="5680CF06"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w:t>
            </w:r>
          </w:p>
          <w:p w14:paraId="26930CF2"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w:t>
            </w:r>
          </w:p>
          <w:p w14:paraId="72646BBD"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w:t>
            </w:r>
          </w:p>
          <w:p w14:paraId="11862AF9"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w:t>
            </w:r>
          </w:p>
          <w:p w14:paraId="632B48EE"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 </w:t>
            </w:r>
          </w:p>
        </w:tc>
        <w:tc>
          <w:tcPr>
            <w:tcW w:w="6891" w:type="dxa"/>
            <w:gridSpan w:val="2"/>
            <w:shd w:val="clear" w:color="auto" w:fill="auto"/>
            <w:hideMark/>
          </w:tcPr>
          <w:p w14:paraId="0E99AE54"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General Organizational Capability which is likely to affect implementation</w:t>
            </w:r>
          </w:p>
        </w:tc>
        <w:tc>
          <w:tcPr>
            <w:tcW w:w="1530" w:type="dxa"/>
            <w:vMerge w:val="restart"/>
            <w:shd w:val="clear" w:color="auto" w:fill="auto"/>
          </w:tcPr>
          <w:p w14:paraId="38C17427" w14:textId="0AC20D02"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90</w:t>
            </w:r>
          </w:p>
        </w:tc>
      </w:tr>
      <w:tr w:rsidR="006532FE" w:rsidRPr="00641BDC" w14:paraId="3E4B19FA" w14:textId="77777777">
        <w:trPr>
          <w:trHeight w:val="240"/>
        </w:trPr>
        <w:tc>
          <w:tcPr>
            <w:tcW w:w="954" w:type="dxa"/>
            <w:vMerge/>
            <w:hideMark/>
          </w:tcPr>
          <w:p w14:paraId="264D3695"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hideMark/>
          </w:tcPr>
          <w:p w14:paraId="7B33AB98"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Financial Stability</w:t>
            </w:r>
          </w:p>
        </w:tc>
        <w:tc>
          <w:tcPr>
            <w:tcW w:w="1530" w:type="dxa"/>
            <w:vMerge/>
            <w:vAlign w:val="center"/>
          </w:tcPr>
          <w:p w14:paraId="084AF2A3"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3BB0DF7A" w14:textId="77777777">
        <w:trPr>
          <w:trHeight w:val="240"/>
        </w:trPr>
        <w:tc>
          <w:tcPr>
            <w:tcW w:w="954" w:type="dxa"/>
            <w:vMerge/>
            <w:hideMark/>
          </w:tcPr>
          <w:p w14:paraId="62305F97"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hideMark/>
          </w:tcPr>
          <w:p w14:paraId="74D0008A"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Loose consortium, Holding company or One firm</w:t>
            </w:r>
          </w:p>
        </w:tc>
        <w:tc>
          <w:tcPr>
            <w:tcW w:w="1530" w:type="dxa"/>
            <w:vMerge/>
            <w:vAlign w:val="center"/>
          </w:tcPr>
          <w:p w14:paraId="6AB1A26B"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7CD1F47F" w14:textId="77777777">
        <w:trPr>
          <w:trHeight w:val="240"/>
        </w:trPr>
        <w:tc>
          <w:tcPr>
            <w:tcW w:w="954" w:type="dxa"/>
            <w:vMerge/>
            <w:hideMark/>
          </w:tcPr>
          <w:p w14:paraId="0B7A27C9"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hideMark/>
          </w:tcPr>
          <w:p w14:paraId="6855030A"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Age/size of the firm</w:t>
            </w:r>
          </w:p>
        </w:tc>
        <w:tc>
          <w:tcPr>
            <w:tcW w:w="1530" w:type="dxa"/>
            <w:vMerge/>
            <w:vAlign w:val="center"/>
          </w:tcPr>
          <w:p w14:paraId="2062793E"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419E58DC" w14:textId="77777777">
        <w:trPr>
          <w:trHeight w:val="240"/>
        </w:trPr>
        <w:tc>
          <w:tcPr>
            <w:tcW w:w="954" w:type="dxa"/>
            <w:vMerge/>
            <w:hideMark/>
          </w:tcPr>
          <w:p w14:paraId="1D9D9616"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hideMark/>
          </w:tcPr>
          <w:p w14:paraId="41939DD6"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Strength of the Project Management Support</w:t>
            </w:r>
          </w:p>
        </w:tc>
        <w:tc>
          <w:tcPr>
            <w:tcW w:w="1530" w:type="dxa"/>
            <w:vMerge/>
            <w:vAlign w:val="center"/>
          </w:tcPr>
          <w:p w14:paraId="571AFE65"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6B8AEB8F" w14:textId="77777777">
        <w:trPr>
          <w:trHeight w:val="240"/>
        </w:trPr>
        <w:tc>
          <w:tcPr>
            <w:tcW w:w="954" w:type="dxa"/>
            <w:vMerge/>
            <w:hideMark/>
          </w:tcPr>
          <w:p w14:paraId="72C3C689"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hideMark/>
          </w:tcPr>
          <w:p w14:paraId="5BA47512"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Project Financing Capacity</w:t>
            </w:r>
          </w:p>
        </w:tc>
        <w:tc>
          <w:tcPr>
            <w:tcW w:w="1530" w:type="dxa"/>
            <w:vMerge/>
            <w:vAlign w:val="center"/>
          </w:tcPr>
          <w:p w14:paraId="4F2C24C1"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66CD8881" w14:textId="77777777">
        <w:trPr>
          <w:trHeight w:val="240"/>
        </w:trPr>
        <w:tc>
          <w:tcPr>
            <w:tcW w:w="954" w:type="dxa"/>
            <w:vMerge/>
            <w:hideMark/>
          </w:tcPr>
          <w:p w14:paraId="4B7BB8EC"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hideMark/>
          </w:tcPr>
          <w:p w14:paraId="647205D5"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Project Management Control</w:t>
            </w:r>
          </w:p>
        </w:tc>
        <w:tc>
          <w:tcPr>
            <w:tcW w:w="1530" w:type="dxa"/>
            <w:vMerge/>
            <w:vAlign w:val="center"/>
          </w:tcPr>
          <w:p w14:paraId="05569CE4"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62764964" w14:textId="77777777">
        <w:trPr>
          <w:trHeight w:val="720"/>
        </w:trPr>
        <w:tc>
          <w:tcPr>
            <w:tcW w:w="954" w:type="dxa"/>
            <w:shd w:val="clear" w:color="auto" w:fill="auto"/>
            <w:vAlign w:val="center"/>
            <w:hideMark/>
          </w:tcPr>
          <w:p w14:paraId="75FAA71C"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1.3</w:t>
            </w:r>
          </w:p>
        </w:tc>
        <w:tc>
          <w:tcPr>
            <w:tcW w:w="6891" w:type="dxa"/>
            <w:gridSpan w:val="2"/>
            <w:shd w:val="clear" w:color="auto" w:fill="auto"/>
            <w:vAlign w:val="center"/>
            <w:hideMark/>
          </w:tcPr>
          <w:p w14:paraId="2BE9CCBE"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Extent to which any work would be subcontracted (subcontracting carries additional risks which may affect project implementation, but properly done it offers a chance to access specialized skills.)</w:t>
            </w:r>
          </w:p>
        </w:tc>
        <w:tc>
          <w:tcPr>
            <w:tcW w:w="1530" w:type="dxa"/>
            <w:shd w:val="clear" w:color="auto" w:fill="auto"/>
            <w:vAlign w:val="center"/>
          </w:tcPr>
          <w:p w14:paraId="43605A55" w14:textId="46C2A60D"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15</w:t>
            </w:r>
          </w:p>
        </w:tc>
      </w:tr>
      <w:tr w:rsidR="006532FE" w:rsidRPr="00641BDC" w14:paraId="08D506FC" w14:textId="77777777">
        <w:trPr>
          <w:trHeight w:val="240"/>
        </w:trPr>
        <w:tc>
          <w:tcPr>
            <w:tcW w:w="954" w:type="dxa"/>
            <w:shd w:val="clear" w:color="auto" w:fill="auto"/>
            <w:hideMark/>
          </w:tcPr>
          <w:p w14:paraId="6EEA6B59"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1.4</w:t>
            </w:r>
          </w:p>
        </w:tc>
        <w:tc>
          <w:tcPr>
            <w:tcW w:w="6891" w:type="dxa"/>
            <w:gridSpan w:val="2"/>
            <w:shd w:val="clear" w:color="auto" w:fill="auto"/>
            <w:hideMark/>
          </w:tcPr>
          <w:p w14:paraId="3225365C"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Quality assurance procedure, warranty</w:t>
            </w:r>
          </w:p>
        </w:tc>
        <w:tc>
          <w:tcPr>
            <w:tcW w:w="1530" w:type="dxa"/>
            <w:shd w:val="clear" w:color="auto" w:fill="auto"/>
          </w:tcPr>
          <w:p w14:paraId="58A3392B" w14:textId="41A25BAA"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25</w:t>
            </w:r>
          </w:p>
        </w:tc>
      </w:tr>
      <w:tr w:rsidR="006532FE" w:rsidRPr="00641BDC" w14:paraId="75945773" w14:textId="77777777">
        <w:trPr>
          <w:trHeight w:val="240"/>
        </w:trPr>
        <w:tc>
          <w:tcPr>
            <w:tcW w:w="954" w:type="dxa"/>
            <w:vMerge w:val="restart"/>
            <w:shd w:val="clear" w:color="auto" w:fill="auto"/>
            <w:hideMark/>
          </w:tcPr>
          <w:p w14:paraId="6F799549"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1.5</w:t>
            </w:r>
          </w:p>
          <w:p w14:paraId="26610403"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w:t>
            </w:r>
          </w:p>
          <w:p w14:paraId="72E3AF8B"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w:t>
            </w:r>
          </w:p>
          <w:p w14:paraId="23D25A23"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w:t>
            </w:r>
          </w:p>
          <w:p w14:paraId="57D8C742"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color w:val="000000"/>
                <w:sz w:val="20"/>
                <w:szCs w:val="20"/>
                <w:lang w:val="en-GB"/>
              </w:rPr>
              <w:t> </w:t>
            </w:r>
          </w:p>
        </w:tc>
        <w:tc>
          <w:tcPr>
            <w:tcW w:w="6891" w:type="dxa"/>
            <w:gridSpan w:val="2"/>
            <w:shd w:val="clear" w:color="auto" w:fill="auto"/>
            <w:hideMark/>
          </w:tcPr>
          <w:p w14:paraId="326100F3"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Relevance of:</w:t>
            </w:r>
          </w:p>
        </w:tc>
        <w:tc>
          <w:tcPr>
            <w:tcW w:w="1530" w:type="dxa"/>
            <w:vMerge w:val="restart"/>
            <w:shd w:val="clear" w:color="auto" w:fill="auto"/>
          </w:tcPr>
          <w:p w14:paraId="4E6E392D" w14:textId="796B2C11"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170</w:t>
            </w:r>
          </w:p>
        </w:tc>
      </w:tr>
      <w:tr w:rsidR="006532FE" w:rsidRPr="00641BDC" w14:paraId="01CF4E55" w14:textId="77777777">
        <w:trPr>
          <w:trHeight w:val="240"/>
        </w:trPr>
        <w:tc>
          <w:tcPr>
            <w:tcW w:w="954" w:type="dxa"/>
            <w:vMerge/>
            <w:hideMark/>
          </w:tcPr>
          <w:p w14:paraId="56EBCA64" w14:textId="77777777" w:rsidR="006532FE" w:rsidRPr="00641BDC" w:rsidRDefault="006532FE">
            <w:pPr>
              <w:spacing w:after="0" w:line="276" w:lineRule="auto"/>
              <w:jc w:val="both"/>
              <w:rPr>
                <w:rFonts w:eastAsia="Times New Roman" w:cstheme="minorHAnsi"/>
                <w:color w:val="000000"/>
                <w:sz w:val="20"/>
                <w:szCs w:val="20"/>
                <w:lang w:val="en-GB"/>
              </w:rPr>
            </w:pPr>
          </w:p>
        </w:tc>
        <w:tc>
          <w:tcPr>
            <w:tcW w:w="6891" w:type="dxa"/>
            <w:gridSpan w:val="2"/>
            <w:shd w:val="clear" w:color="auto" w:fill="auto"/>
            <w:hideMark/>
          </w:tcPr>
          <w:p w14:paraId="2EC042A9"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Specialized Knowledge</w:t>
            </w:r>
          </w:p>
        </w:tc>
        <w:tc>
          <w:tcPr>
            <w:tcW w:w="1530" w:type="dxa"/>
            <w:vMerge/>
            <w:vAlign w:val="center"/>
          </w:tcPr>
          <w:p w14:paraId="20CA0931"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2F5DA65B" w14:textId="77777777">
        <w:trPr>
          <w:trHeight w:val="240"/>
        </w:trPr>
        <w:tc>
          <w:tcPr>
            <w:tcW w:w="954" w:type="dxa"/>
            <w:vMerge/>
            <w:hideMark/>
          </w:tcPr>
          <w:p w14:paraId="08FCC8D5" w14:textId="77777777" w:rsidR="006532FE" w:rsidRPr="00641BDC" w:rsidRDefault="006532FE">
            <w:pPr>
              <w:spacing w:after="0" w:line="276" w:lineRule="auto"/>
              <w:jc w:val="both"/>
              <w:rPr>
                <w:rFonts w:eastAsia="Times New Roman" w:cstheme="minorHAnsi"/>
                <w:color w:val="000000"/>
                <w:sz w:val="20"/>
                <w:szCs w:val="20"/>
                <w:lang w:val="en-GB"/>
              </w:rPr>
            </w:pPr>
          </w:p>
        </w:tc>
        <w:tc>
          <w:tcPr>
            <w:tcW w:w="6891" w:type="dxa"/>
            <w:gridSpan w:val="2"/>
            <w:shd w:val="clear" w:color="auto" w:fill="auto"/>
            <w:hideMark/>
          </w:tcPr>
          <w:p w14:paraId="64B13E77"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Experience on Similar Programme / Projects</w:t>
            </w:r>
          </w:p>
        </w:tc>
        <w:tc>
          <w:tcPr>
            <w:tcW w:w="1530" w:type="dxa"/>
            <w:vMerge/>
            <w:vAlign w:val="center"/>
          </w:tcPr>
          <w:p w14:paraId="7EB636B4"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0C80F57D" w14:textId="77777777">
        <w:trPr>
          <w:trHeight w:val="240"/>
        </w:trPr>
        <w:tc>
          <w:tcPr>
            <w:tcW w:w="954" w:type="dxa"/>
            <w:vMerge/>
            <w:hideMark/>
          </w:tcPr>
          <w:p w14:paraId="36C3BA6A" w14:textId="77777777" w:rsidR="006532FE" w:rsidRPr="00641BDC" w:rsidRDefault="006532FE">
            <w:pPr>
              <w:spacing w:after="0" w:line="276" w:lineRule="auto"/>
              <w:jc w:val="both"/>
              <w:rPr>
                <w:rFonts w:eastAsia="Times New Roman" w:cstheme="minorHAnsi"/>
                <w:color w:val="000000"/>
                <w:sz w:val="20"/>
                <w:szCs w:val="20"/>
                <w:lang w:val="en-GB"/>
              </w:rPr>
            </w:pPr>
          </w:p>
        </w:tc>
        <w:tc>
          <w:tcPr>
            <w:tcW w:w="6891" w:type="dxa"/>
            <w:gridSpan w:val="2"/>
            <w:shd w:val="clear" w:color="auto" w:fill="auto"/>
            <w:hideMark/>
          </w:tcPr>
          <w:p w14:paraId="0DD347AE"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Experience on Projects in the Region</w:t>
            </w:r>
          </w:p>
        </w:tc>
        <w:tc>
          <w:tcPr>
            <w:tcW w:w="1530" w:type="dxa"/>
            <w:vMerge/>
            <w:vAlign w:val="center"/>
          </w:tcPr>
          <w:p w14:paraId="7D71A983"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0B243145" w14:textId="77777777">
        <w:trPr>
          <w:trHeight w:val="240"/>
        </w:trPr>
        <w:tc>
          <w:tcPr>
            <w:tcW w:w="954" w:type="dxa"/>
            <w:vMerge/>
            <w:hideMark/>
          </w:tcPr>
          <w:p w14:paraId="4A56694B" w14:textId="77777777" w:rsidR="006532FE" w:rsidRPr="00641BDC" w:rsidRDefault="006532FE">
            <w:pPr>
              <w:spacing w:after="0" w:line="276" w:lineRule="auto"/>
              <w:jc w:val="both"/>
              <w:rPr>
                <w:rFonts w:eastAsia="Times New Roman" w:cstheme="minorHAnsi"/>
                <w:color w:val="000000"/>
                <w:sz w:val="20"/>
                <w:szCs w:val="20"/>
                <w:lang w:val="en-GB"/>
              </w:rPr>
            </w:pPr>
          </w:p>
        </w:tc>
        <w:tc>
          <w:tcPr>
            <w:tcW w:w="6891" w:type="dxa"/>
            <w:gridSpan w:val="2"/>
            <w:shd w:val="clear" w:color="auto" w:fill="auto"/>
            <w:hideMark/>
          </w:tcPr>
          <w:p w14:paraId="70123484"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 - Work for UNDP/ major multilateral/ or bilateral programmes</w:t>
            </w:r>
          </w:p>
        </w:tc>
        <w:tc>
          <w:tcPr>
            <w:tcW w:w="1530" w:type="dxa"/>
            <w:vMerge/>
            <w:vAlign w:val="center"/>
          </w:tcPr>
          <w:p w14:paraId="057596BB" w14:textId="77777777" w:rsidR="006532FE" w:rsidRPr="00641BDC" w:rsidRDefault="006532FE">
            <w:pPr>
              <w:spacing w:after="0" w:line="276" w:lineRule="auto"/>
              <w:jc w:val="both"/>
              <w:rPr>
                <w:rFonts w:eastAsia="Times New Roman" w:cstheme="minorHAnsi"/>
                <w:b/>
                <w:bCs/>
                <w:color w:val="000000"/>
                <w:sz w:val="20"/>
                <w:szCs w:val="20"/>
                <w:lang w:val="en-GB"/>
              </w:rPr>
            </w:pPr>
          </w:p>
        </w:tc>
      </w:tr>
      <w:tr w:rsidR="006532FE" w:rsidRPr="00641BDC" w14:paraId="254BCE2A" w14:textId="77777777">
        <w:trPr>
          <w:trHeight w:val="240"/>
        </w:trPr>
        <w:tc>
          <w:tcPr>
            <w:tcW w:w="954" w:type="dxa"/>
            <w:shd w:val="clear" w:color="auto" w:fill="CCFF33"/>
            <w:hideMark/>
          </w:tcPr>
          <w:p w14:paraId="0682D36D"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w:t>
            </w:r>
          </w:p>
        </w:tc>
        <w:tc>
          <w:tcPr>
            <w:tcW w:w="6891" w:type="dxa"/>
            <w:gridSpan w:val="2"/>
            <w:shd w:val="clear" w:color="auto" w:fill="CCFF33"/>
            <w:hideMark/>
          </w:tcPr>
          <w:p w14:paraId="63F5A847"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S U B     T O T A L</w:t>
            </w:r>
          </w:p>
        </w:tc>
        <w:tc>
          <w:tcPr>
            <w:tcW w:w="1530" w:type="dxa"/>
            <w:shd w:val="clear" w:color="auto" w:fill="CCFF33"/>
            <w:hideMark/>
          </w:tcPr>
          <w:p w14:paraId="6245A806" w14:textId="0AF59903"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3</w:t>
            </w:r>
            <w:r>
              <w:rPr>
                <w:rFonts w:eastAsia="Times New Roman" w:cstheme="minorHAnsi"/>
                <w:b/>
                <w:bCs/>
                <w:color w:val="000000"/>
                <w:sz w:val="20"/>
                <w:szCs w:val="20"/>
                <w:lang w:val="en-GB"/>
              </w:rPr>
              <w:t>50</w:t>
            </w:r>
          </w:p>
        </w:tc>
      </w:tr>
      <w:tr w:rsidR="006532FE" w:rsidRPr="00641BDC" w14:paraId="6B7CBC53" w14:textId="77777777">
        <w:trPr>
          <w:trHeight w:val="240"/>
        </w:trPr>
        <w:tc>
          <w:tcPr>
            <w:tcW w:w="7845" w:type="dxa"/>
            <w:gridSpan w:val="3"/>
            <w:shd w:val="clear" w:color="auto" w:fill="CCCCFF"/>
            <w:hideMark/>
          </w:tcPr>
          <w:p w14:paraId="6830EEE2" w14:textId="2A06287B" w:rsidR="006532FE" w:rsidRPr="00BD3787" w:rsidRDefault="006532FE">
            <w:pPr>
              <w:spacing w:after="0" w:line="276" w:lineRule="auto"/>
              <w:jc w:val="both"/>
              <w:rPr>
                <w:rFonts w:eastAsia="Times New Roman" w:cstheme="minorHAnsi"/>
                <w:b/>
                <w:bCs/>
                <w:color w:val="000000"/>
                <w:sz w:val="20"/>
                <w:szCs w:val="20"/>
                <w:lang w:val="en-GB"/>
              </w:rPr>
            </w:pPr>
            <w:r w:rsidRPr="006532FE">
              <w:rPr>
                <w:b/>
                <w:bCs/>
              </w:rPr>
              <w:t>Proposed Methodology, Approach and Implementation Plan</w:t>
            </w:r>
          </w:p>
        </w:tc>
        <w:tc>
          <w:tcPr>
            <w:tcW w:w="1530" w:type="dxa"/>
            <w:shd w:val="clear" w:color="auto" w:fill="CCCCFF"/>
            <w:hideMark/>
          </w:tcPr>
          <w:p w14:paraId="384934D6"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w:t>
            </w:r>
          </w:p>
        </w:tc>
      </w:tr>
      <w:tr w:rsidR="006532FE" w:rsidRPr="00641BDC" w14:paraId="14ACEE67" w14:textId="77777777">
        <w:trPr>
          <w:trHeight w:val="240"/>
        </w:trPr>
        <w:tc>
          <w:tcPr>
            <w:tcW w:w="954" w:type="dxa"/>
            <w:shd w:val="clear" w:color="auto" w:fill="auto"/>
            <w:hideMark/>
          </w:tcPr>
          <w:p w14:paraId="2B519A0A"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2.1</w:t>
            </w:r>
          </w:p>
        </w:tc>
        <w:tc>
          <w:tcPr>
            <w:tcW w:w="6891" w:type="dxa"/>
            <w:gridSpan w:val="2"/>
            <w:shd w:val="clear" w:color="auto" w:fill="auto"/>
            <w:hideMark/>
          </w:tcPr>
          <w:p w14:paraId="748F3C09"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To what degree does the Proposer understand the task?</w:t>
            </w:r>
          </w:p>
        </w:tc>
        <w:tc>
          <w:tcPr>
            <w:tcW w:w="1530" w:type="dxa"/>
            <w:shd w:val="clear" w:color="auto" w:fill="auto"/>
          </w:tcPr>
          <w:p w14:paraId="35FF0D45" w14:textId="24517AB0"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30</w:t>
            </w:r>
          </w:p>
        </w:tc>
      </w:tr>
      <w:tr w:rsidR="006532FE" w:rsidRPr="00641BDC" w14:paraId="124E173F" w14:textId="77777777">
        <w:trPr>
          <w:trHeight w:val="260"/>
        </w:trPr>
        <w:tc>
          <w:tcPr>
            <w:tcW w:w="954" w:type="dxa"/>
            <w:shd w:val="clear" w:color="auto" w:fill="auto"/>
            <w:hideMark/>
          </w:tcPr>
          <w:p w14:paraId="4942B331"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2.2</w:t>
            </w:r>
          </w:p>
        </w:tc>
        <w:tc>
          <w:tcPr>
            <w:tcW w:w="6891" w:type="dxa"/>
            <w:gridSpan w:val="2"/>
            <w:shd w:val="clear" w:color="auto" w:fill="auto"/>
            <w:hideMark/>
          </w:tcPr>
          <w:p w14:paraId="1EE14D79"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Have the important aspects of the task been addressed in sufficient detail?</w:t>
            </w:r>
          </w:p>
        </w:tc>
        <w:tc>
          <w:tcPr>
            <w:tcW w:w="1530" w:type="dxa"/>
            <w:shd w:val="clear" w:color="auto" w:fill="auto"/>
          </w:tcPr>
          <w:p w14:paraId="4465D94C" w14:textId="77E900FA"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25</w:t>
            </w:r>
          </w:p>
        </w:tc>
      </w:tr>
      <w:tr w:rsidR="006532FE" w:rsidRPr="00641BDC" w14:paraId="73937B33" w14:textId="77777777">
        <w:trPr>
          <w:trHeight w:val="480"/>
        </w:trPr>
        <w:tc>
          <w:tcPr>
            <w:tcW w:w="954" w:type="dxa"/>
            <w:shd w:val="clear" w:color="auto" w:fill="auto"/>
            <w:hideMark/>
          </w:tcPr>
          <w:p w14:paraId="58DE8F2C"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2.3</w:t>
            </w:r>
          </w:p>
        </w:tc>
        <w:tc>
          <w:tcPr>
            <w:tcW w:w="6891" w:type="dxa"/>
            <w:gridSpan w:val="2"/>
            <w:shd w:val="clear" w:color="auto" w:fill="auto"/>
            <w:hideMark/>
          </w:tcPr>
          <w:p w14:paraId="6D27692B"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Are the different components of the project adequately weighted relative to one another?</w:t>
            </w:r>
          </w:p>
        </w:tc>
        <w:tc>
          <w:tcPr>
            <w:tcW w:w="1530" w:type="dxa"/>
            <w:shd w:val="clear" w:color="auto" w:fill="auto"/>
          </w:tcPr>
          <w:p w14:paraId="1BFA7CD3" w14:textId="4B6343A3"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20</w:t>
            </w:r>
          </w:p>
        </w:tc>
      </w:tr>
      <w:tr w:rsidR="006532FE" w:rsidRPr="00641BDC" w14:paraId="1B798D77" w14:textId="77777777">
        <w:trPr>
          <w:trHeight w:val="480"/>
        </w:trPr>
        <w:tc>
          <w:tcPr>
            <w:tcW w:w="954" w:type="dxa"/>
            <w:shd w:val="clear" w:color="auto" w:fill="auto"/>
            <w:hideMark/>
          </w:tcPr>
          <w:p w14:paraId="7BEA377A"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lastRenderedPageBreak/>
              <w:t>2.4</w:t>
            </w:r>
          </w:p>
        </w:tc>
        <w:tc>
          <w:tcPr>
            <w:tcW w:w="6891" w:type="dxa"/>
            <w:gridSpan w:val="2"/>
            <w:shd w:val="clear" w:color="auto" w:fill="auto"/>
            <w:hideMark/>
          </w:tcPr>
          <w:p w14:paraId="635F4F82"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Is the proposal based on a survey of the project environment and was this data input properly used in the preparation of the proposal? </w:t>
            </w:r>
          </w:p>
        </w:tc>
        <w:tc>
          <w:tcPr>
            <w:tcW w:w="1530" w:type="dxa"/>
            <w:shd w:val="clear" w:color="auto" w:fill="auto"/>
          </w:tcPr>
          <w:p w14:paraId="5A7A28BC" w14:textId="2976371B"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55</w:t>
            </w:r>
          </w:p>
        </w:tc>
      </w:tr>
      <w:tr w:rsidR="006532FE" w:rsidRPr="00641BDC" w14:paraId="58F9DBF3" w14:textId="77777777">
        <w:trPr>
          <w:trHeight w:val="240"/>
        </w:trPr>
        <w:tc>
          <w:tcPr>
            <w:tcW w:w="954" w:type="dxa"/>
            <w:shd w:val="clear" w:color="auto" w:fill="auto"/>
            <w:hideMark/>
          </w:tcPr>
          <w:p w14:paraId="2134C78E"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2.5</w:t>
            </w:r>
          </w:p>
        </w:tc>
        <w:tc>
          <w:tcPr>
            <w:tcW w:w="6891" w:type="dxa"/>
            <w:gridSpan w:val="2"/>
            <w:shd w:val="clear" w:color="auto" w:fill="auto"/>
            <w:hideMark/>
          </w:tcPr>
          <w:p w14:paraId="00D84458"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Is the conceptual framework adopted appropriate for the task?</w:t>
            </w:r>
          </w:p>
        </w:tc>
        <w:tc>
          <w:tcPr>
            <w:tcW w:w="1530" w:type="dxa"/>
            <w:shd w:val="clear" w:color="auto" w:fill="auto"/>
          </w:tcPr>
          <w:p w14:paraId="03C28876" w14:textId="66484F1E"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65</w:t>
            </w:r>
          </w:p>
        </w:tc>
      </w:tr>
      <w:tr w:rsidR="006532FE" w:rsidRPr="00641BDC" w14:paraId="05D4EF76" w14:textId="77777777">
        <w:trPr>
          <w:trHeight w:val="240"/>
        </w:trPr>
        <w:tc>
          <w:tcPr>
            <w:tcW w:w="954" w:type="dxa"/>
            <w:shd w:val="clear" w:color="auto" w:fill="auto"/>
            <w:hideMark/>
          </w:tcPr>
          <w:p w14:paraId="0477F0C0"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2.6</w:t>
            </w:r>
          </w:p>
        </w:tc>
        <w:tc>
          <w:tcPr>
            <w:tcW w:w="6891" w:type="dxa"/>
            <w:gridSpan w:val="2"/>
            <w:shd w:val="clear" w:color="auto" w:fill="auto"/>
            <w:hideMark/>
          </w:tcPr>
          <w:p w14:paraId="085BA675" w14:textId="0A85AECB"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xml:space="preserve">Is the scope of task well defined and does it correspond to the </w:t>
            </w:r>
            <w:r w:rsidR="009672F1">
              <w:rPr>
                <w:rFonts w:eastAsia="Times New Roman" w:cstheme="minorHAnsi"/>
                <w:color w:val="000000"/>
                <w:sz w:val="20"/>
                <w:szCs w:val="20"/>
                <w:lang w:val="en-GB"/>
              </w:rPr>
              <w:t>TOR</w:t>
            </w:r>
            <w:r w:rsidRPr="00641BDC">
              <w:rPr>
                <w:rFonts w:eastAsia="Times New Roman" w:cstheme="minorHAnsi"/>
                <w:color w:val="000000"/>
                <w:sz w:val="20"/>
                <w:szCs w:val="20"/>
                <w:lang w:val="en-GB"/>
              </w:rPr>
              <w:t>?</w:t>
            </w:r>
          </w:p>
        </w:tc>
        <w:tc>
          <w:tcPr>
            <w:tcW w:w="1530" w:type="dxa"/>
            <w:shd w:val="clear" w:color="auto" w:fill="auto"/>
          </w:tcPr>
          <w:p w14:paraId="3F0D8C87" w14:textId="435999D9"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120</w:t>
            </w:r>
          </w:p>
        </w:tc>
      </w:tr>
      <w:tr w:rsidR="006532FE" w:rsidRPr="00641BDC" w14:paraId="4F67E932" w14:textId="77777777">
        <w:trPr>
          <w:trHeight w:val="557"/>
        </w:trPr>
        <w:tc>
          <w:tcPr>
            <w:tcW w:w="954" w:type="dxa"/>
            <w:shd w:val="clear" w:color="auto" w:fill="auto"/>
            <w:vAlign w:val="center"/>
            <w:hideMark/>
          </w:tcPr>
          <w:p w14:paraId="54F3423B"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2.7</w:t>
            </w:r>
          </w:p>
        </w:tc>
        <w:tc>
          <w:tcPr>
            <w:tcW w:w="6891" w:type="dxa"/>
            <w:gridSpan w:val="2"/>
            <w:shd w:val="clear" w:color="auto" w:fill="auto"/>
            <w:vAlign w:val="center"/>
            <w:hideMark/>
          </w:tcPr>
          <w:p w14:paraId="1340AC66"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Is the presentation clear and is the sequence of activities and the planning logical, realistic and promise efficient implementation to the project?</w:t>
            </w:r>
          </w:p>
        </w:tc>
        <w:tc>
          <w:tcPr>
            <w:tcW w:w="1530" w:type="dxa"/>
            <w:shd w:val="clear" w:color="auto" w:fill="auto"/>
            <w:vAlign w:val="center"/>
          </w:tcPr>
          <w:p w14:paraId="33228C2A" w14:textId="750A869A"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85</w:t>
            </w:r>
          </w:p>
        </w:tc>
      </w:tr>
      <w:tr w:rsidR="006532FE" w:rsidRPr="00641BDC" w14:paraId="11E1E467" w14:textId="77777777">
        <w:trPr>
          <w:trHeight w:val="240"/>
        </w:trPr>
        <w:tc>
          <w:tcPr>
            <w:tcW w:w="954" w:type="dxa"/>
            <w:shd w:val="clear" w:color="auto" w:fill="CCFF33"/>
            <w:hideMark/>
          </w:tcPr>
          <w:p w14:paraId="6069F702"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w:t>
            </w:r>
          </w:p>
        </w:tc>
        <w:tc>
          <w:tcPr>
            <w:tcW w:w="6891" w:type="dxa"/>
            <w:gridSpan w:val="2"/>
            <w:shd w:val="clear" w:color="auto" w:fill="CCFF33"/>
            <w:hideMark/>
          </w:tcPr>
          <w:p w14:paraId="5C35EB61"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S U B     T O T A L</w:t>
            </w:r>
          </w:p>
        </w:tc>
        <w:tc>
          <w:tcPr>
            <w:tcW w:w="1530" w:type="dxa"/>
            <w:shd w:val="clear" w:color="auto" w:fill="CCFF33"/>
            <w:hideMark/>
          </w:tcPr>
          <w:p w14:paraId="1B93D869"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400</w:t>
            </w:r>
          </w:p>
        </w:tc>
      </w:tr>
      <w:tr w:rsidR="006532FE" w:rsidRPr="00641BDC" w14:paraId="2C4F33A4" w14:textId="77777777">
        <w:trPr>
          <w:trHeight w:val="240"/>
        </w:trPr>
        <w:tc>
          <w:tcPr>
            <w:tcW w:w="7845" w:type="dxa"/>
            <w:gridSpan w:val="3"/>
            <w:shd w:val="clear" w:color="auto" w:fill="CCCCFF"/>
            <w:vAlign w:val="center"/>
            <w:hideMark/>
          </w:tcPr>
          <w:p w14:paraId="0D01026B" w14:textId="4CF62B61" w:rsidR="006532FE" w:rsidRPr="00641BDC" w:rsidRDefault="006532FE">
            <w:pPr>
              <w:spacing w:after="0" w:line="276" w:lineRule="auto"/>
              <w:jc w:val="both"/>
              <w:rPr>
                <w:rFonts w:eastAsia="Times New Roman" w:cstheme="minorHAnsi"/>
                <w:color w:val="000000"/>
                <w:sz w:val="20"/>
                <w:szCs w:val="20"/>
                <w:lang w:val="en-GB"/>
              </w:rPr>
            </w:pPr>
            <w:r>
              <w:t>Management Structure and Key Personnel</w:t>
            </w:r>
            <w:r w:rsidRPr="00641BDC">
              <w:rPr>
                <w:rFonts w:eastAsia="Times New Roman" w:cstheme="minorHAnsi"/>
                <w:color w:val="000000"/>
                <w:sz w:val="20"/>
                <w:szCs w:val="20"/>
                <w:lang w:val="en-GB"/>
              </w:rPr>
              <w:t> </w:t>
            </w:r>
          </w:p>
        </w:tc>
        <w:tc>
          <w:tcPr>
            <w:tcW w:w="1530" w:type="dxa"/>
            <w:shd w:val="clear" w:color="auto" w:fill="CCCCFF"/>
            <w:hideMark/>
          </w:tcPr>
          <w:p w14:paraId="7AC680FC"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w:t>
            </w:r>
          </w:p>
        </w:tc>
      </w:tr>
      <w:tr w:rsidR="00D82F27" w:rsidRPr="00641BDC" w14:paraId="73A950A6" w14:textId="77777777">
        <w:trPr>
          <w:trHeight w:val="240"/>
        </w:trPr>
        <w:tc>
          <w:tcPr>
            <w:tcW w:w="954" w:type="dxa"/>
            <w:vMerge w:val="restart"/>
            <w:shd w:val="clear" w:color="auto" w:fill="auto"/>
            <w:hideMark/>
          </w:tcPr>
          <w:p w14:paraId="757CEA39" w14:textId="77777777" w:rsidR="00D82F27" w:rsidRPr="00641BDC" w:rsidRDefault="00D82F27">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3.1</w:t>
            </w:r>
          </w:p>
          <w:p w14:paraId="54329021" w14:textId="77777777" w:rsidR="00D82F27" w:rsidRPr="00641BDC" w:rsidRDefault="00D82F27">
            <w:pPr>
              <w:spacing w:after="0" w:line="276" w:lineRule="auto"/>
              <w:jc w:val="both"/>
              <w:rPr>
                <w:rFonts w:eastAsia="Times New Roman" w:cstheme="minorHAnsi"/>
                <w:b/>
                <w:bCs/>
                <w:color w:val="000000"/>
                <w:sz w:val="20"/>
                <w:szCs w:val="20"/>
                <w:lang w:val="en-GB"/>
              </w:rPr>
            </w:pPr>
          </w:p>
        </w:tc>
        <w:tc>
          <w:tcPr>
            <w:tcW w:w="8421" w:type="dxa"/>
            <w:gridSpan w:val="3"/>
            <w:shd w:val="clear" w:color="auto" w:fill="auto"/>
          </w:tcPr>
          <w:p w14:paraId="0903ACC7" w14:textId="77777777" w:rsidR="00D82F27" w:rsidRPr="006532FE" w:rsidRDefault="00D82F27">
            <w:pPr>
              <w:spacing w:after="0" w:line="276" w:lineRule="auto"/>
              <w:jc w:val="both"/>
              <w:rPr>
                <w:rFonts w:eastAsia="Times New Roman"/>
                <w:b/>
                <w:bCs/>
                <w:color w:val="000000" w:themeColor="text1"/>
                <w:sz w:val="20"/>
                <w:szCs w:val="20"/>
                <w:lang w:val="en-GB"/>
              </w:rPr>
            </w:pPr>
            <w:r w:rsidRPr="006532FE">
              <w:rPr>
                <w:rFonts w:eastAsia="Times New Roman"/>
                <w:b/>
                <w:bCs/>
                <w:color w:val="000000" w:themeColor="text1"/>
                <w:sz w:val="20"/>
                <w:szCs w:val="20"/>
                <w:lang w:val="en-GB"/>
              </w:rPr>
              <w:t>Team Leader</w:t>
            </w:r>
          </w:p>
          <w:p w14:paraId="6D080A29" w14:textId="77777777" w:rsidR="00D82F27" w:rsidRDefault="00D82F27">
            <w:pPr>
              <w:spacing w:after="0" w:line="276" w:lineRule="auto"/>
              <w:jc w:val="both"/>
              <w:rPr>
                <w:rFonts w:eastAsia="Times New Roman"/>
                <w:color w:val="000000" w:themeColor="text1"/>
                <w:sz w:val="20"/>
                <w:szCs w:val="20"/>
                <w:lang w:val="en-GB"/>
              </w:rPr>
            </w:pPr>
            <w:r>
              <w:rPr>
                <w:rFonts w:eastAsia="Times New Roman"/>
                <w:color w:val="000000" w:themeColor="text1"/>
                <w:sz w:val="20"/>
                <w:szCs w:val="20"/>
                <w:lang w:val="en-GB"/>
              </w:rPr>
              <w:t>General Qualification</w:t>
            </w:r>
          </w:p>
          <w:p w14:paraId="783DBDDA" w14:textId="687AA5C0" w:rsidR="00D82F27" w:rsidRPr="00641BDC" w:rsidRDefault="00D82F27">
            <w:pPr>
              <w:spacing w:after="0" w:line="276" w:lineRule="auto"/>
              <w:jc w:val="both"/>
              <w:rPr>
                <w:rFonts w:eastAsia="Times New Roman"/>
                <w:color w:val="000000"/>
                <w:sz w:val="20"/>
                <w:szCs w:val="20"/>
                <w:lang w:val="en-GB"/>
              </w:rPr>
            </w:pPr>
            <w:r>
              <w:rPr>
                <w:rFonts w:eastAsia="Times New Roman"/>
                <w:color w:val="000000" w:themeColor="text1"/>
                <w:sz w:val="20"/>
                <w:szCs w:val="20"/>
                <w:lang w:val="en-GB"/>
              </w:rPr>
              <w:t xml:space="preserve">Suitability for the project </w:t>
            </w:r>
          </w:p>
        </w:tc>
      </w:tr>
      <w:tr w:rsidR="006532FE" w:rsidRPr="00641BDC" w14:paraId="246FE99E" w14:textId="77777777">
        <w:trPr>
          <w:trHeight w:val="240"/>
        </w:trPr>
        <w:tc>
          <w:tcPr>
            <w:tcW w:w="954" w:type="dxa"/>
            <w:vMerge/>
            <w:hideMark/>
          </w:tcPr>
          <w:p w14:paraId="4187E545"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tcPr>
          <w:p w14:paraId="15735060" w14:textId="41C83767" w:rsidR="006532FE" w:rsidRPr="00641BDC" w:rsidRDefault="006532FE">
            <w:pPr>
              <w:spacing w:after="0" w:line="276" w:lineRule="auto"/>
              <w:jc w:val="both"/>
              <w:rPr>
                <w:rFonts w:eastAsia="Times New Roman"/>
                <w:color w:val="000000"/>
                <w:sz w:val="20"/>
                <w:szCs w:val="20"/>
                <w:lang w:val="en-GB"/>
              </w:rPr>
            </w:pPr>
            <w:r>
              <w:rPr>
                <w:rFonts w:eastAsia="Times New Roman"/>
                <w:color w:val="000000"/>
                <w:sz w:val="20"/>
                <w:szCs w:val="20"/>
                <w:lang w:val="en-GB"/>
              </w:rPr>
              <w:t xml:space="preserve">International Experience </w:t>
            </w:r>
          </w:p>
        </w:tc>
        <w:tc>
          <w:tcPr>
            <w:tcW w:w="1530" w:type="dxa"/>
            <w:shd w:val="clear" w:color="auto" w:fill="auto"/>
          </w:tcPr>
          <w:p w14:paraId="03DF3138" w14:textId="4EB46D5B" w:rsidR="006532FE" w:rsidRPr="00641BDC" w:rsidRDefault="006532FE">
            <w:pPr>
              <w:spacing w:after="0" w:line="276" w:lineRule="auto"/>
              <w:jc w:val="both"/>
              <w:rPr>
                <w:rFonts w:eastAsia="Times New Roman"/>
                <w:color w:val="000000"/>
                <w:sz w:val="20"/>
                <w:szCs w:val="20"/>
                <w:lang w:val="en-GB"/>
              </w:rPr>
            </w:pPr>
            <w:r>
              <w:rPr>
                <w:rFonts w:eastAsia="Times New Roman"/>
                <w:color w:val="000000"/>
                <w:sz w:val="20"/>
                <w:szCs w:val="20"/>
                <w:lang w:val="en-GB"/>
              </w:rPr>
              <w:t>40</w:t>
            </w:r>
          </w:p>
        </w:tc>
      </w:tr>
      <w:tr w:rsidR="006532FE" w:rsidRPr="00641BDC" w14:paraId="63DF49B2" w14:textId="77777777">
        <w:trPr>
          <w:trHeight w:val="240"/>
        </w:trPr>
        <w:tc>
          <w:tcPr>
            <w:tcW w:w="954" w:type="dxa"/>
            <w:vMerge/>
          </w:tcPr>
          <w:p w14:paraId="0A1F4F45"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tcPr>
          <w:p w14:paraId="6E30C4A8" w14:textId="00A5FCEC" w:rsidR="006532FE" w:rsidRDefault="006532FE">
            <w:pPr>
              <w:spacing w:after="0" w:line="276" w:lineRule="auto"/>
              <w:jc w:val="both"/>
              <w:rPr>
                <w:rFonts w:eastAsia="Times New Roman"/>
                <w:color w:val="000000"/>
                <w:sz w:val="20"/>
                <w:szCs w:val="20"/>
                <w:lang w:val="en-GB"/>
              </w:rPr>
            </w:pPr>
            <w:r w:rsidRPr="006532FE">
              <w:rPr>
                <w:rFonts w:eastAsia="Times New Roman"/>
                <w:color w:val="000000"/>
                <w:sz w:val="20"/>
                <w:szCs w:val="20"/>
              </w:rPr>
              <w:t xml:space="preserve">Professional experience </w:t>
            </w:r>
            <w:proofErr w:type="gramStart"/>
            <w:r w:rsidRPr="006532FE">
              <w:rPr>
                <w:rFonts w:eastAsia="Times New Roman"/>
                <w:color w:val="000000"/>
                <w:sz w:val="20"/>
                <w:szCs w:val="20"/>
              </w:rPr>
              <w:t>in the area of</w:t>
            </w:r>
            <w:proofErr w:type="gramEnd"/>
            <w:r w:rsidRPr="006532FE">
              <w:rPr>
                <w:rFonts w:eastAsia="Times New Roman"/>
                <w:color w:val="000000"/>
                <w:sz w:val="20"/>
                <w:szCs w:val="20"/>
              </w:rPr>
              <w:t xml:space="preserve"> specialization</w:t>
            </w:r>
          </w:p>
        </w:tc>
        <w:tc>
          <w:tcPr>
            <w:tcW w:w="1530" w:type="dxa"/>
            <w:shd w:val="clear" w:color="auto" w:fill="auto"/>
          </w:tcPr>
          <w:p w14:paraId="5FF562E1" w14:textId="353C2B85" w:rsidR="006532FE" w:rsidRPr="00641BDC" w:rsidRDefault="006532FE">
            <w:pPr>
              <w:spacing w:after="0" w:line="276" w:lineRule="auto"/>
              <w:jc w:val="both"/>
              <w:rPr>
                <w:rFonts w:eastAsia="Times New Roman"/>
                <w:color w:val="000000"/>
                <w:sz w:val="20"/>
                <w:szCs w:val="20"/>
                <w:lang w:val="en-GB"/>
              </w:rPr>
            </w:pPr>
            <w:r>
              <w:rPr>
                <w:rFonts w:eastAsia="Times New Roman"/>
                <w:color w:val="000000"/>
                <w:sz w:val="20"/>
                <w:szCs w:val="20"/>
                <w:lang w:val="en-GB"/>
              </w:rPr>
              <w:t>60</w:t>
            </w:r>
          </w:p>
        </w:tc>
      </w:tr>
      <w:tr w:rsidR="006532FE" w:rsidRPr="00641BDC" w14:paraId="39665117" w14:textId="77777777">
        <w:trPr>
          <w:trHeight w:val="240"/>
        </w:trPr>
        <w:tc>
          <w:tcPr>
            <w:tcW w:w="954" w:type="dxa"/>
            <w:vMerge/>
          </w:tcPr>
          <w:p w14:paraId="0266CC6E"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tcPr>
          <w:p w14:paraId="3CBD5BB2" w14:textId="1F9AB70A" w:rsidR="006532FE" w:rsidRPr="006532FE" w:rsidRDefault="006532FE">
            <w:pPr>
              <w:spacing w:after="0" w:line="276" w:lineRule="auto"/>
              <w:jc w:val="both"/>
              <w:rPr>
                <w:rFonts w:eastAsia="Times New Roman"/>
                <w:color w:val="000000"/>
                <w:sz w:val="20"/>
                <w:szCs w:val="20"/>
              </w:rPr>
            </w:pPr>
            <w:r w:rsidRPr="006532FE">
              <w:rPr>
                <w:rFonts w:eastAsia="Times New Roman"/>
                <w:color w:val="000000"/>
                <w:sz w:val="20"/>
                <w:szCs w:val="20"/>
              </w:rPr>
              <w:t>Knowledge of region</w:t>
            </w:r>
          </w:p>
        </w:tc>
        <w:tc>
          <w:tcPr>
            <w:tcW w:w="1530" w:type="dxa"/>
            <w:shd w:val="clear" w:color="auto" w:fill="auto"/>
          </w:tcPr>
          <w:p w14:paraId="47739D4C" w14:textId="21043711" w:rsidR="006532FE" w:rsidRPr="00641BDC" w:rsidRDefault="006532FE">
            <w:pPr>
              <w:spacing w:after="0" w:line="276" w:lineRule="auto"/>
              <w:jc w:val="both"/>
              <w:rPr>
                <w:rFonts w:eastAsia="Times New Roman"/>
                <w:color w:val="000000"/>
                <w:sz w:val="20"/>
                <w:szCs w:val="20"/>
                <w:lang w:val="en-GB"/>
              </w:rPr>
            </w:pPr>
            <w:r>
              <w:rPr>
                <w:rFonts w:eastAsia="Times New Roman"/>
                <w:color w:val="000000"/>
                <w:sz w:val="20"/>
                <w:szCs w:val="20"/>
                <w:lang w:val="en-GB"/>
              </w:rPr>
              <w:t>40</w:t>
            </w:r>
          </w:p>
        </w:tc>
      </w:tr>
      <w:tr w:rsidR="006532FE" w:rsidRPr="00641BDC" w14:paraId="4DE4F8F8" w14:textId="77777777">
        <w:trPr>
          <w:trHeight w:val="240"/>
        </w:trPr>
        <w:tc>
          <w:tcPr>
            <w:tcW w:w="954" w:type="dxa"/>
            <w:vMerge/>
          </w:tcPr>
          <w:p w14:paraId="025C2BE6" w14:textId="77777777" w:rsidR="006532FE" w:rsidRPr="00641BDC" w:rsidRDefault="006532FE">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tcPr>
          <w:p w14:paraId="250CC6BC" w14:textId="228BAE2B" w:rsidR="006532FE" w:rsidRPr="006532FE" w:rsidRDefault="006532FE">
            <w:pPr>
              <w:spacing w:after="0" w:line="276" w:lineRule="auto"/>
              <w:jc w:val="both"/>
              <w:rPr>
                <w:rFonts w:eastAsia="Times New Roman"/>
                <w:color w:val="000000"/>
                <w:sz w:val="20"/>
                <w:szCs w:val="20"/>
              </w:rPr>
            </w:pPr>
            <w:r w:rsidRPr="006532FE">
              <w:rPr>
                <w:rFonts w:eastAsia="Times New Roman"/>
                <w:color w:val="000000"/>
                <w:sz w:val="20"/>
                <w:szCs w:val="20"/>
              </w:rPr>
              <w:t>Language qualification</w:t>
            </w:r>
          </w:p>
        </w:tc>
        <w:tc>
          <w:tcPr>
            <w:tcW w:w="1530" w:type="dxa"/>
            <w:shd w:val="clear" w:color="auto" w:fill="auto"/>
          </w:tcPr>
          <w:p w14:paraId="7630EC45" w14:textId="481E85DF" w:rsidR="006532FE" w:rsidRPr="00641BDC" w:rsidRDefault="006532FE">
            <w:pPr>
              <w:spacing w:after="0" w:line="276" w:lineRule="auto"/>
              <w:jc w:val="both"/>
              <w:rPr>
                <w:rFonts w:eastAsia="Times New Roman"/>
                <w:color w:val="000000"/>
                <w:sz w:val="20"/>
                <w:szCs w:val="20"/>
                <w:lang w:val="en-GB"/>
              </w:rPr>
            </w:pPr>
            <w:r>
              <w:rPr>
                <w:rFonts w:eastAsia="Times New Roman"/>
                <w:color w:val="000000"/>
                <w:sz w:val="20"/>
                <w:szCs w:val="20"/>
                <w:lang w:val="en-GB"/>
              </w:rPr>
              <w:t>30</w:t>
            </w:r>
          </w:p>
        </w:tc>
      </w:tr>
      <w:tr w:rsidR="006532FE" w:rsidRPr="00641BDC" w14:paraId="403753B4" w14:textId="77777777">
        <w:trPr>
          <w:trHeight w:val="240"/>
        </w:trPr>
        <w:tc>
          <w:tcPr>
            <w:tcW w:w="954" w:type="dxa"/>
            <w:shd w:val="clear" w:color="auto" w:fill="CCFF33"/>
            <w:hideMark/>
          </w:tcPr>
          <w:p w14:paraId="746215AE" w14:textId="77777777" w:rsidR="006532FE" w:rsidRPr="00641BDC" w:rsidRDefault="006532FE">
            <w:pPr>
              <w:spacing w:after="0" w:line="276" w:lineRule="auto"/>
              <w:jc w:val="both"/>
              <w:rPr>
                <w:rFonts w:eastAsia="Times New Roman" w:cstheme="minorHAnsi"/>
                <w:color w:val="000000"/>
                <w:sz w:val="20"/>
                <w:szCs w:val="20"/>
                <w:lang w:val="en-GB"/>
              </w:rPr>
            </w:pPr>
            <w:r w:rsidRPr="00641BDC">
              <w:rPr>
                <w:rFonts w:eastAsia="Times New Roman" w:cstheme="minorHAnsi"/>
                <w:color w:val="000000"/>
                <w:sz w:val="20"/>
                <w:szCs w:val="20"/>
                <w:lang w:val="en-GB"/>
              </w:rPr>
              <w:t> </w:t>
            </w:r>
          </w:p>
        </w:tc>
        <w:tc>
          <w:tcPr>
            <w:tcW w:w="6891" w:type="dxa"/>
            <w:gridSpan w:val="2"/>
            <w:shd w:val="clear" w:color="auto" w:fill="CCFF33"/>
            <w:hideMark/>
          </w:tcPr>
          <w:p w14:paraId="71E6B8C2" w14:textId="77777777" w:rsidR="006532FE" w:rsidRPr="00641BDC" w:rsidRDefault="006532FE">
            <w:pPr>
              <w:spacing w:after="0" w:line="276" w:lineRule="auto"/>
              <w:jc w:val="both"/>
              <w:rPr>
                <w:rFonts w:eastAsia="Times New Roman" w:cstheme="minorHAnsi"/>
                <w:b/>
                <w:bCs/>
                <w:color w:val="000000"/>
                <w:sz w:val="20"/>
                <w:szCs w:val="20"/>
                <w:lang w:val="en-GB"/>
              </w:rPr>
            </w:pPr>
            <w:r w:rsidRPr="00641BDC">
              <w:rPr>
                <w:rFonts w:eastAsia="Times New Roman" w:cstheme="minorHAnsi"/>
                <w:b/>
                <w:bCs/>
                <w:color w:val="000000"/>
                <w:sz w:val="20"/>
                <w:szCs w:val="20"/>
                <w:lang w:val="en-GB"/>
              </w:rPr>
              <w:t>S U B     T O T A L</w:t>
            </w:r>
          </w:p>
        </w:tc>
        <w:tc>
          <w:tcPr>
            <w:tcW w:w="1530" w:type="dxa"/>
            <w:shd w:val="clear" w:color="auto" w:fill="CCFF33"/>
            <w:hideMark/>
          </w:tcPr>
          <w:p w14:paraId="3B4AD0C1" w14:textId="4179993A" w:rsidR="006532FE" w:rsidRPr="00641BDC" w:rsidRDefault="006532FE">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170</w:t>
            </w:r>
          </w:p>
        </w:tc>
      </w:tr>
      <w:tr w:rsidR="00D82F27" w:rsidRPr="00641BDC" w14:paraId="58DD22FC" w14:textId="77777777" w:rsidTr="00D82F27">
        <w:trPr>
          <w:trHeight w:val="240"/>
        </w:trPr>
        <w:tc>
          <w:tcPr>
            <w:tcW w:w="954" w:type="dxa"/>
            <w:vMerge w:val="restart"/>
            <w:shd w:val="clear" w:color="auto" w:fill="auto"/>
          </w:tcPr>
          <w:p w14:paraId="244A0C5F" w14:textId="77777777" w:rsidR="00D82F27" w:rsidRPr="00D82F27" w:rsidRDefault="00D82F27">
            <w:pPr>
              <w:spacing w:after="0" w:line="276" w:lineRule="auto"/>
              <w:jc w:val="both"/>
              <w:rPr>
                <w:rFonts w:eastAsia="Times New Roman" w:cstheme="minorHAnsi"/>
                <w:b/>
                <w:bCs/>
                <w:color w:val="000000"/>
                <w:sz w:val="20"/>
                <w:szCs w:val="20"/>
                <w:lang w:val="en-GB"/>
              </w:rPr>
            </w:pPr>
            <w:r w:rsidRPr="00D82F27">
              <w:rPr>
                <w:rFonts w:eastAsia="Times New Roman" w:cstheme="minorHAnsi"/>
                <w:b/>
                <w:bCs/>
                <w:color w:val="000000"/>
                <w:sz w:val="20"/>
                <w:szCs w:val="20"/>
                <w:lang w:val="en-GB"/>
              </w:rPr>
              <w:t>3.2</w:t>
            </w:r>
          </w:p>
          <w:p w14:paraId="1B4E2A50" w14:textId="47C97041" w:rsidR="00D82F27" w:rsidRPr="00641BDC" w:rsidRDefault="00D82F27" w:rsidP="00D82F27">
            <w:pPr>
              <w:spacing w:after="0" w:line="276" w:lineRule="auto"/>
              <w:jc w:val="both"/>
              <w:rPr>
                <w:rFonts w:eastAsia="Times New Roman" w:cstheme="minorHAnsi"/>
                <w:color w:val="000000"/>
                <w:sz w:val="20"/>
                <w:szCs w:val="20"/>
                <w:lang w:val="en-GB"/>
              </w:rPr>
            </w:pPr>
            <w:r w:rsidRPr="00641BDC">
              <w:rPr>
                <w:rFonts w:eastAsia="Times New Roman" w:cstheme="minorHAnsi"/>
                <w:b/>
                <w:bCs/>
                <w:color w:val="000000"/>
                <w:sz w:val="20"/>
                <w:szCs w:val="20"/>
                <w:lang w:val="en-GB"/>
              </w:rPr>
              <w:t> </w:t>
            </w:r>
          </w:p>
        </w:tc>
        <w:tc>
          <w:tcPr>
            <w:tcW w:w="6891" w:type="dxa"/>
            <w:gridSpan w:val="2"/>
            <w:shd w:val="clear" w:color="auto" w:fill="auto"/>
          </w:tcPr>
          <w:p w14:paraId="60D0EEAB" w14:textId="77777777" w:rsidR="00D82F27" w:rsidRDefault="00D82F27" w:rsidP="00D82F27">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 xml:space="preserve">Team Members </w:t>
            </w:r>
          </w:p>
          <w:p w14:paraId="6ED4931D" w14:textId="2284EEFC" w:rsidR="00D82F27" w:rsidRDefault="00D82F27" w:rsidP="00D82F27">
            <w:pPr>
              <w:spacing w:after="0" w:line="276" w:lineRule="auto"/>
              <w:jc w:val="both"/>
              <w:rPr>
                <w:rFonts w:eastAsia="Times New Roman"/>
                <w:color w:val="000000" w:themeColor="text1"/>
                <w:sz w:val="20"/>
                <w:szCs w:val="20"/>
                <w:lang w:val="en-GB"/>
              </w:rPr>
            </w:pPr>
            <w:r>
              <w:rPr>
                <w:rFonts w:eastAsia="Times New Roman"/>
                <w:color w:val="000000" w:themeColor="text1"/>
                <w:sz w:val="20"/>
                <w:szCs w:val="20"/>
                <w:lang w:val="en-GB"/>
              </w:rPr>
              <w:t>General Qualification</w:t>
            </w:r>
          </w:p>
          <w:p w14:paraId="20BA0486" w14:textId="4A610E02" w:rsidR="00D82F27" w:rsidRPr="00641BDC" w:rsidRDefault="00D82F27">
            <w:pPr>
              <w:spacing w:after="0" w:line="276" w:lineRule="auto"/>
              <w:jc w:val="both"/>
              <w:rPr>
                <w:rFonts w:eastAsia="Times New Roman" w:cstheme="minorHAnsi"/>
                <w:b/>
                <w:bCs/>
                <w:color w:val="000000"/>
                <w:sz w:val="20"/>
                <w:szCs w:val="20"/>
                <w:lang w:val="en-GB"/>
              </w:rPr>
            </w:pPr>
            <w:r>
              <w:rPr>
                <w:rFonts w:eastAsia="Times New Roman"/>
                <w:color w:val="000000" w:themeColor="text1"/>
                <w:sz w:val="20"/>
                <w:szCs w:val="20"/>
                <w:lang w:val="en-GB"/>
              </w:rPr>
              <w:t>Suitability for the project</w:t>
            </w:r>
          </w:p>
        </w:tc>
        <w:tc>
          <w:tcPr>
            <w:tcW w:w="1530" w:type="dxa"/>
            <w:shd w:val="clear" w:color="auto" w:fill="auto"/>
          </w:tcPr>
          <w:p w14:paraId="1B4C4AC5" w14:textId="77777777" w:rsidR="00D82F27" w:rsidRDefault="00D82F27">
            <w:pPr>
              <w:spacing w:after="0" w:line="276" w:lineRule="auto"/>
              <w:jc w:val="both"/>
              <w:rPr>
                <w:rFonts w:eastAsia="Times New Roman" w:cstheme="minorHAnsi"/>
                <w:b/>
                <w:bCs/>
                <w:color w:val="000000"/>
                <w:sz w:val="20"/>
                <w:szCs w:val="20"/>
                <w:lang w:val="en-GB"/>
              </w:rPr>
            </w:pPr>
          </w:p>
        </w:tc>
      </w:tr>
      <w:tr w:rsidR="00D82F27" w:rsidRPr="00641BDC" w14:paraId="527EA4C0" w14:textId="77777777" w:rsidTr="00D82F27">
        <w:trPr>
          <w:trHeight w:val="240"/>
        </w:trPr>
        <w:tc>
          <w:tcPr>
            <w:tcW w:w="954" w:type="dxa"/>
            <w:vMerge/>
            <w:shd w:val="clear" w:color="auto" w:fill="auto"/>
          </w:tcPr>
          <w:p w14:paraId="45B58B80" w14:textId="4DFDFFC5" w:rsidR="00D82F27" w:rsidRDefault="00D82F27" w:rsidP="00D82F27">
            <w:pPr>
              <w:spacing w:after="0" w:line="276" w:lineRule="auto"/>
              <w:jc w:val="both"/>
              <w:rPr>
                <w:rFonts w:eastAsia="Times New Roman" w:cstheme="minorHAnsi"/>
                <w:color w:val="000000"/>
                <w:sz w:val="20"/>
                <w:szCs w:val="20"/>
                <w:lang w:val="en-GB"/>
              </w:rPr>
            </w:pPr>
          </w:p>
        </w:tc>
        <w:tc>
          <w:tcPr>
            <w:tcW w:w="6891" w:type="dxa"/>
            <w:gridSpan w:val="2"/>
            <w:shd w:val="clear" w:color="auto" w:fill="auto"/>
          </w:tcPr>
          <w:p w14:paraId="60B5913A" w14:textId="6179995B" w:rsidR="00D82F27" w:rsidRDefault="00D82F27" w:rsidP="00D82F27">
            <w:pPr>
              <w:spacing w:after="0" w:line="276" w:lineRule="auto"/>
              <w:jc w:val="both"/>
              <w:rPr>
                <w:rFonts w:eastAsia="Times New Roman" w:cstheme="minorHAnsi"/>
                <w:b/>
                <w:bCs/>
                <w:color w:val="000000"/>
                <w:sz w:val="20"/>
                <w:szCs w:val="20"/>
                <w:lang w:val="en-GB"/>
              </w:rPr>
            </w:pPr>
            <w:r>
              <w:rPr>
                <w:rFonts w:eastAsia="Times New Roman"/>
                <w:color w:val="000000"/>
                <w:sz w:val="20"/>
                <w:szCs w:val="20"/>
                <w:lang w:val="en-GB"/>
              </w:rPr>
              <w:t xml:space="preserve">International Experience </w:t>
            </w:r>
          </w:p>
        </w:tc>
        <w:tc>
          <w:tcPr>
            <w:tcW w:w="1530" w:type="dxa"/>
            <w:shd w:val="clear" w:color="auto" w:fill="auto"/>
          </w:tcPr>
          <w:p w14:paraId="30915535" w14:textId="6AD198F1" w:rsidR="00D82F27" w:rsidRPr="00443CCD" w:rsidRDefault="00D82F27" w:rsidP="00D82F27">
            <w:pPr>
              <w:spacing w:after="0" w:line="276" w:lineRule="auto"/>
              <w:jc w:val="both"/>
              <w:rPr>
                <w:rFonts w:eastAsia="Times New Roman" w:cstheme="minorHAnsi"/>
                <w:b/>
                <w:bCs/>
                <w:color w:val="000000"/>
                <w:sz w:val="20"/>
                <w:szCs w:val="20"/>
                <w:lang w:val="en-GB"/>
              </w:rPr>
            </w:pPr>
            <w:r w:rsidRPr="00443CCD">
              <w:rPr>
                <w:rFonts w:eastAsia="Times New Roman" w:cstheme="minorHAnsi"/>
                <w:b/>
                <w:bCs/>
                <w:color w:val="000000"/>
                <w:sz w:val="20"/>
                <w:szCs w:val="20"/>
                <w:lang w:val="en-GB"/>
              </w:rPr>
              <w:t>10</w:t>
            </w:r>
          </w:p>
        </w:tc>
      </w:tr>
      <w:tr w:rsidR="00D82F27" w:rsidRPr="00641BDC" w14:paraId="22BD69D5" w14:textId="77777777" w:rsidTr="00D82F27">
        <w:trPr>
          <w:trHeight w:val="233"/>
        </w:trPr>
        <w:tc>
          <w:tcPr>
            <w:tcW w:w="954" w:type="dxa"/>
            <w:vMerge/>
            <w:shd w:val="clear" w:color="auto" w:fill="auto"/>
            <w:vAlign w:val="bottom"/>
            <w:hideMark/>
          </w:tcPr>
          <w:p w14:paraId="25930732" w14:textId="5D6A84FC" w:rsidR="00D82F27" w:rsidRPr="00641BDC" w:rsidRDefault="00D82F27" w:rsidP="00D82F27">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hideMark/>
          </w:tcPr>
          <w:p w14:paraId="1487C4BC" w14:textId="337BE294" w:rsidR="00D82F27" w:rsidRPr="00641BDC" w:rsidRDefault="00D82F27" w:rsidP="00D82F27">
            <w:pPr>
              <w:spacing w:after="0" w:line="276" w:lineRule="auto"/>
              <w:jc w:val="both"/>
              <w:rPr>
                <w:rFonts w:eastAsia="Times New Roman" w:cstheme="minorHAnsi"/>
                <w:b/>
                <w:bCs/>
                <w:color w:val="000000"/>
                <w:sz w:val="20"/>
                <w:szCs w:val="20"/>
                <w:lang w:val="en-GB"/>
              </w:rPr>
            </w:pPr>
            <w:r w:rsidRPr="006532FE">
              <w:rPr>
                <w:rFonts w:eastAsia="Times New Roman"/>
                <w:color w:val="000000"/>
                <w:sz w:val="20"/>
                <w:szCs w:val="20"/>
              </w:rPr>
              <w:t xml:space="preserve">Professional experience </w:t>
            </w:r>
            <w:proofErr w:type="gramStart"/>
            <w:r w:rsidRPr="006532FE">
              <w:rPr>
                <w:rFonts w:eastAsia="Times New Roman"/>
                <w:color w:val="000000"/>
                <w:sz w:val="20"/>
                <w:szCs w:val="20"/>
              </w:rPr>
              <w:t>in the area of</w:t>
            </w:r>
            <w:proofErr w:type="gramEnd"/>
            <w:r w:rsidRPr="006532FE">
              <w:rPr>
                <w:rFonts w:eastAsia="Times New Roman"/>
                <w:color w:val="000000"/>
                <w:sz w:val="20"/>
                <w:szCs w:val="20"/>
              </w:rPr>
              <w:t xml:space="preserve"> specialization</w:t>
            </w:r>
          </w:p>
        </w:tc>
        <w:tc>
          <w:tcPr>
            <w:tcW w:w="1530" w:type="dxa"/>
            <w:shd w:val="clear" w:color="auto" w:fill="auto"/>
            <w:hideMark/>
          </w:tcPr>
          <w:p w14:paraId="37932349" w14:textId="1793479C" w:rsidR="00D82F27" w:rsidRPr="00443CCD" w:rsidRDefault="00D82F27" w:rsidP="00D82F27">
            <w:pPr>
              <w:spacing w:after="0" w:line="276" w:lineRule="auto"/>
              <w:jc w:val="both"/>
              <w:rPr>
                <w:rFonts w:eastAsia="Times New Roman" w:cstheme="minorHAnsi"/>
                <w:b/>
                <w:bCs/>
                <w:color w:val="000000"/>
                <w:sz w:val="20"/>
                <w:szCs w:val="20"/>
                <w:lang w:val="en-GB"/>
              </w:rPr>
            </w:pPr>
            <w:r w:rsidRPr="00443CCD">
              <w:rPr>
                <w:rFonts w:eastAsia="Times New Roman" w:cstheme="minorHAnsi"/>
                <w:b/>
                <w:bCs/>
                <w:color w:val="000000"/>
                <w:sz w:val="20"/>
                <w:szCs w:val="20"/>
                <w:lang w:val="en-GB"/>
              </w:rPr>
              <w:t>30</w:t>
            </w:r>
          </w:p>
        </w:tc>
      </w:tr>
      <w:tr w:rsidR="00D82F27" w:rsidRPr="00641BDC" w14:paraId="01E6BB5F" w14:textId="77777777" w:rsidTr="00D82F27">
        <w:trPr>
          <w:trHeight w:val="278"/>
        </w:trPr>
        <w:tc>
          <w:tcPr>
            <w:tcW w:w="954" w:type="dxa"/>
            <w:vMerge/>
            <w:shd w:val="clear" w:color="auto" w:fill="auto"/>
            <w:vAlign w:val="bottom"/>
          </w:tcPr>
          <w:p w14:paraId="7BCBFC84" w14:textId="77777777" w:rsidR="00D82F27" w:rsidRPr="00641BDC" w:rsidRDefault="00D82F27" w:rsidP="00D82F27">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tcPr>
          <w:p w14:paraId="5BA34F35" w14:textId="0BAEDCE5" w:rsidR="00D82F27" w:rsidRPr="006532FE" w:rsidRDefault="00D82F27" w:rsidP="00D82F27">
            <w:pPr>
              <w:spacing w:after="0" w:line="276" w:lineRule="auto"/>
              <w:jc w:val="both"/>
              <w:rPr>
                <w:rFonts w:eastAsia="Times New Roman"/>
                <w:color w:val="000000"/>
                <w:sz w:val="20"/>
                <w:szCs w:val="20"/>
              </w:rPr>
            </w:pPr>
            <w:r w:rsidRPr="006532FE">
              <w:rPr>
                <w:rFonts w:eastAsia="Times New Roman"/>
                <w:color w:val="000000"/>
                <w:sz w:val="20"/>
                <w:szCs w:val="20"/>
              </w:rPr>
              <w:t>Knowledge of region</w:t>
            </w:r>
          </w:p>
        </w:tc>
        <w:tc>
          <w:tcPr>
            <w:tcW w:w="1530" w:type="dxa"/>
            <w:shd w:val="clear" w:color="auto" w:fill="auto"/>
          </w:tcPr>
          <w:p w14:paraId="23229CD1" w14:textId="66296077" w:rsidR="00D82F27" w:rsidRPr="00443CCD" w:rsidRDefault="00D82F27" w:rsidP="00D82F27">
            <w:pPr>
              <w:spacing w:after="0" w:line="276" w:lineRule="auto"/>
              <w:jc w:val="both"/>
              <w:rPr>
                <w:rFonts w:eastAsia="Times New Roman"/>
                <w:b/>
                <w:bCs/>
                <w:color w:val="000000"/>
                <w:sz w:val="20"/>
                <w:szCs w:val="20"/>
                <w:lang w:val="en-GB"/>
              </w:rPr>
            </w:pPr>
            <w:r w:rsidRPr="00443CCD">
              <w:rPr>
                <w:rFonts w:eastAsia="Times New Roman"/>
                <w:b/>
                <w:bCs/>
                <w:color w:val="000000"/>
                <w:sz w:val="20"/>
                <w:szCs w:val="20"/>
                <w:lang w:val="en-GB"/>
              </w:rPr>
              <w:t>20</w:t>
            </w:r>
          </w:p>
        </w:tc>
      </w:tr>
      <w:tr w:rsidR="00D82F27" w:rsidRPr="00641BDC" w14:paraId="27EE35A8" w14:textId="77777777" w:rsidTr="00D82F27">
        <w:trPr>
          <w:trHeight w:val="260"/>
        </w:trPr>
        <w:tc>
          <w:tcPr>
            <w:tcW w:w="954" w:type="dxa"/>
            <w:vMerge/>
            <w:shd w:val="clear" w:color="auto" w:fill="auto"/>
            <w:vAlign w:val="bottom"/>
          </w:tcPr>
          <w:p w14:paraId="76891C82" w14:textId="77777777" w:rsidR="00D82F27" w:rsidRPr="00641BDC" w:rsidRDefault="00D82F27" w:rsidP="00D82F27">
            <w:pPr>
              <w:spacing w:after="0" w:line="276" w:lineRule="auto"/>
              <w:jc w:val="both"/>
              <w:rPr>
                <w:rFonts w:eastAsia="Times New Roman" w:cstheme="minorHAnsi"/>
                <w:b/>
                <w:bCs/>
                <w:color w:val="000000"/>
                <w:sz w:val="20"/>
                <w:szCs w:val="20"/>
                <w:lang w:val="en-GB"/>
              </w:rPr>
            </w:pPr>
          </w:p>
        </w:tc>
        <w:tc>
          <w:tcPr>
            <w:tcW w:w="6891" w:type="dxa"/>
            <w:gridSpan w:val="2"/>
            <w:shd w:val="clear" w:color="auto" w:fill="auto"/>
          </w:tcPr>
          <w:p w14:paraId="0517A7A8" w14:textId="788D3549" w:rsidR="00D82F27" w:rsidRPr="006532FE" w:rsidRDefault="00D82F27" w:rsidP="00D82F27">
            <w:pPr>
              <w:spacing w:after="0" w:line="276" w:lineRule="auto"/>
              <w:jc w:val="both"/>
              <w:rPr>
                <w:rFonts w:eastAsia="Times New Roman"/>
                <w:color w:val="000000"/>
                <w:sz w:val="20"/>
                <w:szCs w:val="20"/>
              </w:rPr>
            </w:pPr>
            <w:r w:rsidRPr="006532FE">
              <w:rPr>
                <w:rFonts w:eastAsia="Times New Roman"/>
                <w:color w:val="000000"/>
                <w:sz w:val="20"/>
                <w:szCs w:val="20"/>
              </w:rPr>
              <w:t>Language qualification</w:t>
            </w:r>
          </w:p>
        </w:tc>
        <w:tc>
          <w:tcPr>
            <w:tcW w:w="1530" w:type="dxa"/>
            <w:shd w:val="clear" w:color="auto" w:fill="auto"/>
          </w:tcPr>
          <w:p w14:paraId="77879864" w14:textId="5AB2EB44" w:rsidR="00D82F27" w:rsidRPr="00443CCD" w:rsidRDefault="00D82F27" w:rsidP="00D82F27">
            <w:pPr>
              <w:spacing w:after="0" w:line="276" w:lineRule="auto"/>
              <w:jc w:val="both"/>
              <w:rPr>
                <w:rFonts w:eastAsia="Times New Roman"/>
                <w:b/>
                <w:bCs/>
                <w:color w:val="000000"/>
                <w:sz w:val="20"/>
                <w:szCs w:val="20"/>
                <w:lang w:val="en-GB"/>
              </w:rPr>
            </w:pPr>
            <w:r w:rsidRPr="00443CCD">
              <w:rPr>
                <w:rFonts w:eastAsia="Times New Roman"/>
                <w:b/>
                <w:bCs/>
                <w:color w:val="000000"/>
                <w:sz w:val="20"/>
                <w:szCs w:val="20"/>
                <w:lang w:val="en-GB"/>
              </w:rPr>
              <w:t>20</w:t>
            </w:r>
          </w:p>
        </w:tc>
      </w:tr>
      <w:tr w:rsidR="00D82F27" w:rsidRPr="00641BDC" w14:paraId="4B224C6D" w14:textId="77777777" w:rsidTr="00D82F27">
        <w:trPr>
          <w:trHeight w:val="287"/>
        </w:trPr>
        <w:tc>
          <w:tcPr>
            <w:tcW w:w="954" w:type="dxa"/>
            <w:shd w:val="clear" w:color="auto" w:fill="A8D08D" w:themeFill="accent6" w:themeFillTint="99"/>
          </w:tcPr>
          <w:p w14:paraId="4256CD8E" w14:textId="6D33F7B3" w:rsidR="00D82F27" w:rsidRPr="00641BDC" w:rsidRDefault="00D82F27" w:rsidP="00D82F27">
            <w:pPr>
              <w:spacing w:after="0" w:line="276" w:lineRule="auto"/>
              <w:jc w:val="both"/>
              <w:rPr>
                <w:rFonts w:eastAsia="Times New Roman" w:cstheme="minorHAnsi"/>
                <w:b/>
                <w:bCs/>
                <w:color w:val="000000"/>
                <w:sz w:val="20"/>
                <w:szCs w:val="20"/>
                <w:lang w:val="en-GB"/>
              </w:rPr>
            </w:pPr>
            <w:r w:rsidRPr="00641BDC">
              <w:rPr>
                <w:rFonts w:eastAsia="Times New Roman" w:cstheme="minorHAnsi"/>
                <w:color w:val="000000"/>
                <w:sz w:val="20"/>
                <w:szCs w:val="20"/>
                <w:lang w:val="en-GB"/>
              </w:rPr>
              <w:t> </w:t>
            </w:r>
          </w:p>
        </w:tc>
        <w:tc>
          <w:tcPr>
            <w:tcW w:w="6891" w:type="dxa"/>
            <w:gridSpan w:val="2"/>
            <w:shd w:val="clear" w:color="auto" w:fill="A8D08D" w:themeFill="accent6" w:themeFillTint="99"/>
          </w:tcPr>
          <w:p w14:paraId="17189DE0" w14:textId="7DB275E0" w:rsidR="00D82F27" w:rsidRPr="006532FE" w:rsidRDefault="00D82F27" w:rsidP="00D82F27">
            <w:pPr>
              <w:spacing w:after="0" w:line="276" w:lineRule="auto"/>
              <w:jc w:val="both"/>
              <w:rPr>
                <w:rFonts w:eastAsia="Times New Roman"/>
                <w:color w:val="000000"/>
                <w:sz w:val="20"/>
                <w:szCs w:val="20"/>
              </w:rPr>
            </w:pPr>
            <w:r w:rsidRPr="00641BDC">
              <w:rPr>
                <w:rFonts w:eastAsia="Times New Roman" w:cstheme="minorHAnsi"/>
                <w:b/>
                <w:bCs/>
                <w:color w:val="000000"/>
                <w:sz w:val="20"/>
                <w:szCs w:val="20"/>
                <w:lang w:val="en-GB"/>
              </w:rPr>
              <w:t>S U B     T O T A L</w:t>
            </w:r>
          </w:p>
        </w:tc>
        <w:tc>
          <w:tcPr>
            <w:tcW w:w="1530" w:type="dxa"/>
            <w:shd w:val="clear" w:color="auto" w:fill="A8D08D" w:themeFill="accent6" w:themeFillTint="99"/>
          </w:tcPr>
          <w:p w14:paraId="266D5353" w14:textId="449226DC" w:rsidR="00D82F27" w:rsidRPr="00D82F27" w:rsidRDefault="00D82F27" w:rsidP="00D82F27">
            <w:pPr>
              <w:spacing w:after="0" w:line="276" w:lineRule="auto"/>
              <w:jc w:val="both"/>
              <w:rPr>
                <w:rFonts w:eastAsia="Times New Roman"/>
                <w:b/>
                <w:bCs/>
                <w:color w:val="000000"/>
                <w:sz w:val="20"/>
                <w:szCs w:val="20"/>
                <w:lang w:val="en-GB"/>
              </w:rPr>
            </w:pPr>
            <w:r w:rsidRPr="00D82F27">
              <w:rPr>
                <w:rFonts w:eastAsia="Times New Roman"/>
                <w:b/>
                <w:bCs/>
                <w:color w:val="000000"/>
                <w:sz w:val="20"/>
                <w:szCs w:val="20"/>
                <w:lang w:val="en-GB"/>
              </w:rPr>
              <w:t>80</w:t>
            </w:r>
          </w:p>
        </w:tc>
      </w:tr>
      <w:tr w:rsidR="00D82F27" w:rsidRPr="00641BDC" w14:paraId="1E69A99A" w14:textId="77777777" w:rsidTr="00D82F27">
        <w:trPr>
          <w:trHeight w:val="287"/>
        </w:trPr>
        <w:tc>
          <w:tcPr>
            <w:tcW w:w="954" w:type="dxa"/>
            <w:shd w:val="clear" w:color="auto" w:fill="A8D08D" w:themeFill="accent6" w:themeFillTint="99"/>
          </w:tcPr>
          <w:p w14:paraId="0DFE19CB" w14:textId="77777777" w:rsidR="00D82F27" w:rsidRPr="00641BDC" w:rsidRDefault="00D82F27" w:rsidP="00D82F27">
            <w:pPr>
              <w:spacing w:after="0" w:line="276" w:lineRule="auto"/>
              <w:jc w:val="both"/>
              <w:rPr>
                <w:rFonts w:eastAsia="Times New Roman" w:cstheme="minorHAnsi"/>
                <w:color w:val="000000"/>
                <w:sz w:val="20"/>
                <w:szCs w:val="20"/>
                <w:lang w:val="en-GB"/>
              </w:rPr>
            </w:pPr>
          </w:p>
        </w:tc>
        <w:tc>
          <w:tcPr>
            <w:tcW w:w="6891" w:type="dxa"/>
            <w:gridSpan w:val="2"/>
            <w:shd w:val="clear" w:color="auto" w:fill="A8D08D" w:themeFill="accent6" w:themeFillTint="99"/>
          </w:tcPr>
          <w:p w14:paraId="683037AB" w14:textId="13079592" w:rsidR="00D82F27" w:rsidRPr="00641BDC" w:rsidRDefault="00D82F27" w:rsidP="00D82F27">
            <w:pPr>
              <w:spacing w:after="0" w:line="276" w:lineRule="auto"/>
              <w:jc w:val="both"/>
              <w:rPr>
                <w:rFonts w:eastAsia="Times New Roman" w:cstheme="minorHAnsi"/>
                <w:b/>
                <w:bCs/>
                <w:color w:val="000000"/>
                <w:sz w:val="20"/>
                <w:szCs w:val="20"/>
                <w:lang w:val="en-GB"/>
              </w:rPr>
            </w:pPr>
            <w:r>
              <w:rPr>
                <w:rFonts w:eastAsia="Times New Roman" w:cstheme="minorHAnsi"/>
                <w:b/>
                <w:bCs/>
                <w:color w:val="000000"/>
                <w:sz w:val="20"/>
                <w:szCs w:val="20"/>
                <w:lang w:val="en-GB"/>
              </w:rPr>
              <w:t xml:space="preserve">Aggregate </w:t>
            </w:r>
          </w:p>
        </w:tc>
        <w:tc>
          <w:tcPr>
            <w:tcW w:w="1530" w:type="dxa"/>
            <w:shd w:val="clear" w:color="auto" w:fill="A8D08D" w:themeFill="accent6" w:themeFillTint="99"/>
          </w:tcPr>
          <w:p w14:paraId="1CD47A6F" w14:textId="5C25F90F" w:rsidR="00D82F27" w:rsidRPr="00D82F27" w:rsidRDefault="00D82F27" w:rsidP="00D82F27">
            <w:pPr>
              <w:spacing w:after="0" w:line="276" w:lineRule="auto"/>
              <w:jc w:val="both"/>
              <w:rPr>
                <w:rFonts w:eastAsia="Times New Roman"/>
                <w:b/>
                <w:bCs/>
                <w:color w:val="000000"/>
                <w:sz w:val="20"/>
                <w:szCs w:val="20"/>
                <w:lang w:val="en-GB"/>
              </w:rPr>
            </w:pPr>
            <w:r w:rsidRPr="00D82F27">
              <w:rPr>
                <w:rFonts w:eastAsia="Times New Roman"/>
                <w:b/>
                <w:bCs/>
                <w:color w:val="000000"/>
                <w:sz w:val="20"/>
                <w:szCs w:val="20"/>
                <w:lang w:val="en-GB"/>
              </w:rPr>
              <w:t>1000</w:t>
            </w:r>
          </w:p>
        </w:tc>
      </w:tr>
    </w:tbl>
    <w:p w14:paraId="32057AE8" w14:textId="77777777" w:rsidR="006532FE" w:rsidRDefault="006532FE" w:rsidP="006532FE">
      <w:pPr>
        <w:jc w:val="both"/>
        <w:rPr>
          <w:b/>
          <w:bCs/>
          <w:color w:val="002060"/>
        </w:rPr>
      </w:pPr>
    </w:p>
    <w:p w14:paraId="111E3CDF" w14:textId="77777777" w:rsidR="009672F1" w:rsidRDefault="009672F1" w:rsidP="006532FE">
      <w:pPr>
        <w:jc w:val="both"/>
        <w:rPr>
          <w:b/>
          <w:bCs/>
          <w:color w:val="002060"/>
        </w:rPr>
      </w:pPr>
    </w:p>
    <w:p w14:paraId="7FE64A68" w14:textId="78A666FA" w:rsidR="00D87CDB" w:rsidRPr="00481D2C" w:rsidRDefault="005E2DA3" w:rsidP="00D438F9">
      <w:pPr>
        <w:pStyle w:val="ListParagraph"/>
        <w:numPr>
          <w:ilvl w:val="0"/>
          <w:numId w:val="42"/>
        </w:numPr>
        <w:tabs>
          <w:tab w:val="center" w:pos="4680"/>
        </w:tabs>
        <w:rPr>
          <w:b/>
          <w:bCs/>
          <w:color w:val="002060"/>
        </w:rPr>
      </w:pPr>
      <w:r>
        <w:rPr>
          <w:b/>
          <w:bCs/>
          <w:color w:val="002060"/>
        </w:rPr>
        <w:t>ADMINISTRATIVE ISSUES</w:t>
      </w:r>
    </w:p>
    <w:p w14:paraId="5813DC1E" w14:textId="37475E9A" w:rsidR="00073936" w:rsidRDefault="0095553C" w:rsidP="00245EEB">
      <w:pPr>
        <w:tabs>
          <w:tab w:val="center" w:pos="4680"/>
        </w:tabs>
        <w:jc w:val="both"/>
      </w:pPr>
      <w:r>
        <w:t xml:space="preserve">Questions and Answers Regarding the Contract Documents During the selection process, the contracting party (UNDP) is not permitted to discuss documentation, proposals, </w:t>
      </w:r>
      <w:r w:rsidR="00DD5492">
        <w:t>evaluation,</w:t>
      </w:r>
      <w:r>
        <w:t xml:space="preserve"> or other such matters with potential applicants in a manner which </w:t>
      </w:r>
      <w:r w:rsidR="3E849559">
        <w:t>favors</w:t>
      </w:r>
      <w:r>
        <w:t xml:space="preserve"> or </w:t>
      </w:r>
      <w:r w:rsidR="21DE5F64">
        <w:t>disfavors</w:t>
      </w:r>
      <w:r>
        <w:t xml:space="preserve"> any of the partners. Questions regarding the attached documents must be directed to UNDP </w:t>
      </w:r>
      <w:r w:rsidR="0086266F">
        <w:t xml:space="preserve">‘s procurement Unit </w:t>
      </w:r>
      <w:r>
        <w:t xml:space="preserve">at </w:t>
      </w:r>
      <w:hyperlink r:id="rId11" w:history="1">
        <w:r w:rsidR="009B088B" w:rsidRPr="00B95D8A">
          <w:rPr>
            <w:rStyle w:val="Hyperlink"/>
          </w:rPr>
          <w:t>info.procurementet@undp.org</w:t>
        </w:r>
      </w:hyperlink>
      <w:r w:rsidR="009B088B">
        <w:t xml:space="preserve"> </w:t>
      </w:r>
      <w:r>
        <w:t xml:space="preserve">. A compilation of relevant questions and answers will be published on </w:t>
      </w:r>
      <w:r w:rsidR="0086266F">
        <w:t>UNDP’s</w:t>
      </w:r>
      <w:r>
        <w:t xml:space="preserve"> website. </w:t>
      </w:r>
      <w:r w:rsidR="06FEE724">
        <w:t>Each potential applicant must ensure that it reads the answers to the questions, together with any other information, which may be published on the above-mentioned website during the tender period.</w:t>
      </w:r>
    </w:p>
    <w:p w14:paraId="49645B0D" w14:textId="2417EB38" w:rsidR="00073936" w:rsidRPr="005E2DA3" w:rsidRDefault="005E2DA3" w:rsidP="00D438F9">
      <w:pPr>
        <w:pStyle w:val="ListParagraph"/>
        <w:numPr>
          <w:ilvl w:val="0"/>
          <w:numId w:val="42"/>
        </w:numPr>
        <w:tabs>
          <w:tab w:val="left" w:pos="1500"/>
        </w:tabs>
        <w:spacing w:after="0" w:line="276" w:lineRule="auto"/>
        <w:jc w:val="both"/>
        <w:rPr>
          <w:rFonts w:eastAsia="Times New Roman" w:cstheme="minorHAnsi"/>
          <w:b/>
          <w:bCs/>
          <w:color w:val="002060"/>
          <w:lang w:val="en-GB"/>
        </w:rPr>
      </w:pPr>
      <w:r>
        <w:rPr>
          <w:rFonts w:eastAsia="Times New Roman" w:cstheme="minorHAnsi"/>
          <w:b/>
          <w:bCs/>
          <w:color w:val="002060"/>
          <w:lang w:val="en-GB"/>
        </w:rPr>
        <w:t xml:space="preserve">CONFIDENTIALITY AND PROPRIETARY INTEREST </w:t>
      </w:r>
    </w:p>
    <w:p w14:paraId="57C79485" w14:textId="77777777" w:rsidR="00073936" w:rsidRPr="00875950" w:rsidRDefault="00073936" w:rsidP="00073936">
      <w:pPr>
        <w:tabs>
          <w:tab w:val="left" w:pos="1500"/>
        </w:tabs>
        <w:spacing w:after="0" w:line="276" w:lineRule="auto"/>
        <w:jc w:val="both"/>
        <w:rPr>
          <w:rFonts w:eastAsia="Times New Roman" w:cstheme="minorHAnsi"/>
          <w:b/>
          <w:bCs/>
          <w:i/>
          <w:iCs/>
          <w:lang w:val="en-GB"/>
        </w:rPr>
      </w:pPr>
    </w:p>
    <w:p w14:paraId="17E28F81" w14:textId="30D842E9" w:rsidR="28FAE5F3" w:rsidRDefault="00073936" w:rsidP="28FAE5F3">
      <w:pPr>
        <w:tabs>
          <w:tab w:val="center" w:pos="4680"/>
        </w:tabs>
        <w:jc w:val="both"/>
        <w:rPr>
          <w:rFonts w:eastAsia="Times New Roman"/>
          <w:lang w:val="en-GB"/>
        </w:rPr>
      </w:pPr>
      <w:r w:rsidRPr="28FAE5F3">
        <w:rPr>
          <w:rFonts w:eastAsia="Times New Roman"/>
          <w:lang w:val="en-GB"/>
        </w:rPr>
        <w:t xml:space="preserve">The applicant shall not either during the term or after termination of the assignment, disclose any proprietary or confidential information related to the service without prior written consent. Proprietary </w:t>
      </w:r>
      <w:r w:rsidRPr="28FAE5F3">
        <w:rPr>
          <w:rFonts w:eastAsia="Times New Roman"/>
          <w:lang w:val="en-GB"/>
        </w:rPr>
        <w:lastRenderedPageBreak/>
        <w:t>interests on all materials and documents prepared by the firm under the assignment shall become and remain properties of UNDP.</w:t>
      </w:r>
    </w:p>
    <w:p w14:paraId="1C577D51" w14:textId="77777777" w:rsidR="00C63FD6" w:rsidRDefault="00C63FD6" w:rsidP="28FAE5F3">
      <w:pPr>
        <w:tabs>
          <w:tab w:val="center" w:pos="4680"/>
        </w:tabs>
        <w:jc w:val="both"/>
      </w:pPr>
    </w:p>
    <w:p w14:paraId="7D6F7D3B" w14:textId="77777777" w:rsidR="00C63FD6" w:rsidRDefault="00C63FD6" w:rsidP="28FAE5F3">
      <w:pPr>
        <w:tabs>
          <w:tab w:val="center" w:pos="4680"/>
        </w:tabs>
        <w:jc w:val="both"/>
      </w:pPr>
    </w:p>
    <w:p w14:paraId="5FC9E1F7" w14:textId="77777777" w:rsidR="003A02B7" w:rsidRDefault="003A02B7" w:rsidP="28FAE5F3">
      <w:pPr>
        <w:tabs>
          <w:tab w:val="center" w:pos="4680"/>
        </w:tabs>
        <w:jc w:val="both"/>
      </w:pPr>
    </w:p>
    <w:p w14:paraId="74A6790A" w14:textId="77777777" w:rsidR="003A02B7" w:rsidRDefault="003A02B7" w:rsidP="28FAE5F3">
      <w:pPr>
        <w:tabs>
          <w:tab w:val="center" w:pos="4680"/>
        </w:tabs>
        <w:jc w:val="both"/>
      </w:pPr>
    </w:p>
    <w:p w14:paraId="6E969C55" w14:textId="00E84567" w:rsidR="00C63FD6" w:rsidRPr="009E2911" w:rsidRDefault="00C63FD6" w:rsidP="009E2911">
      <w:pPr>
        <w:tabs>
          <w:tab w:val="center" w:pos="4680"/>
        </w:tabs>
        <w:rPr>
          <w:b/>
          <w:i/>
          <w:iCs/>
          <w:color w:val="002060"/>
        </w:rPr>
      </w:pPr>
      <w:r w:rsidRPr="00C63FD6">
        <w:rPr>
          <w:b/>
          <w:i/>
          <w:iCs/>
          <w:color w:val="002060"/>
        </w:rPr>
        <w:t>Annex</w:t>
      </w:r>
      <w:r w:rsidR="005D564D">
        <w:rPr>
          <w:b/>
          <w:i/>
          <w:iCs/>
          <w:color w:val="002060"/>
        </w:rPr>
        <w:t xml:space="preserve">es </w:t>
      </w:r>
    </w:p>
    <w:p w14:paraId="1FECE526" w14:textId="606AE3ED" w:rsidR="005D564D" w:rsidRPr="005D564D" w:rsidRDefault="00C63FD6" w:rsidP="005D564D">
      <w:pPr>
        <w:pStyle w:val="ListParagraph"/>
        <w:numPr>
          <w:ilvl w:val="2"/>
          <w:numId w:val="48"/>
        </w:numPr>
        <w:tabs>
          <w:tab w:val="center" w:pos="4680"/>
        </w:tabs>
        <w:rPr>
          <w:i/>
          <w:iCs/>
        </w:rPr>
      </w:pPr>
      <w:r w:rsidRPr="005D564D">
        <w:rPr>
          <w:i/>
          <w:iCs/>
        </w:rPr>
        <w:t xml:space="preserve">Proposed Methodology, </w:t>
      </w:r>
      <w:r w:rsidR="005D564D" w:rsidRPr="005D564D">
        <w:rPr>
          <w:i/>
          <w:iCs/>
        </w:rPr>
        <w:t>Approach,</w:t>
      </w:r>
      <w:r w:rsidRPr="005D564D">
        <w:rPr>
          <w:i/>
          <w:iCs/>
        </w:rPr>
        <w:t xml:space="preserve"> and Implementation Plan </w:t>
      </w:r>
    </w:p>
    <w:p w14:paraId="3E018846" w14:textId="5B2A7E5A" w:rsidR="00C63FD6" w:rsidRPr="005D564D" w:rsidRDefault="4ED77EAB" w:rsidP="005D564D">
      <w:pPr>
        <w:pStyle w:val="ListParagraph"/>
        <w:numPr>
          <w:ilvl w:val="2"/>
          <w:numId w:val="48"/>
        </w:numPr>
        <w:tabs>
          <w:tab w:val="center" w:pos="4680"/>
        </w:tabs>
        <w:rPr>
          <w:i/>
          <w:iCs/>
        </w:rPr>
      </w:pPr>
      <w:r w:rsidRPr="005D564D">
        <w:rPr>
          <w:i/>
          <w:iCs/>
        </w:rPr>
        <w:t xml:space="preserve">Summary of the </w:t>
      </w:r>
      <w:r w:rsidR="005D564D">
        <w:rPr>
          <w:i/>
          <w:iCs/>
        </w:rPr>
        <w:t>EFF Expected F</w:t>
      </w:r>
      <w:r w:rsidRPr="005D564D">
        <w:rPr>
          <w:i/>
          <w:iCs/>
        </w:rPr>
        <w:t xml:space="preserve">und </w:t>
      </w:r>
      <w:r w:rsidR="005D564D">
        <w:rPr>
          <w:i/>
          <w:iCs/>
        </w:rPr>
        <w:t>P</w:t>
      </w:r>
      <w:r w:rsidRPr="005D564D">
        <w:rPr>
          <w:i/>
          <w:iCs/>
        </w:rPr>
        <w:t xml:space="preserve">arameters </w:t>
      </w:r>
    </w:p>
    <w:p w14:paraId="318AB214" w14:textId="77777777" w:rsidR="00C63FD6" w:rsidRDefault="00C63FD6" w:rsidP="28FAE5F3">
      <w:pPr>
        <w:tabs>
          <w:tab w:val="center" w:pos="4680"/>
        </w:tabs>
        <w:jc w:val="both"/>
      </w:pPr>
    </w:p>
    <w:p w14:paraId="1DA9D783" w14:textId="77777777" w:rsidR="00C63FD6" w:rsidRDefault="00C63FD6" w:rsidP="28FAE5F3">
      <w:pPr>
        <w:tabs>
          <w:tab w:val="center" w:pos="4680"/>
        </w:tabs>
        <w:jc w:val="both"/>
      </w:pPr>
    </w:p>
    <w:p w14:paraId="5DAB7DDE" w14:textId="77777777" w:rsidR="00C63FD6" w:rsidRDefault="00C63FD6" w:rsidP="28FAE5F3">
      <w:pPr>
        <w:tabs>
          <w:tab w:val="center" w:pos="4680"/>
        </w:tabs>
        <w:jc w:val="both"/>
      </w:pPr>
    </w:p>
    <w:p w14:paraId="3E08EF29" w14:textId="77777777" w:rsidR="00C63FD6" w:rsidRDefault="00C63FD6" w:rsidP="28FAE5F3">
      <w:pPr>
        <w:tabs>
          <w:tab w:val="center" w:pos="4680"/>
        </w:tabs>
        <w:jc w:val="both"/>
      </w:pPr>
    </w:p>
    <w:p w14:paraId="5ECA2708" w14:textId="77777777" w:rsidR="00C63FD6" w:rsidRDefault="00C63FD6" w:rsidP="28FAE5F3">
      <w:pPr>
        <w:tabs>
          <w:tab w:val="center" w:pos="4680"/>
        </w:tabs>
        <w:jc w:val="both"/>
      </w:pPr>
    </w:p>
    <w:p w14:paraId="563B880A" w14:textId="77777777" w:rsidR="004A5A14" w:rsidRDefault="004A5A14" w:rsidP="28FAE5F3">
      <w:pPr>
        <w:tabs>
          <w:tab w:val="center" w:pos="4680"/>
        </w:tabs>
        <w:jc w:val="both"/>
      </w:pPr>
    </w:p>
    <w:p w14:paraId="343D67C3" w14:textId="77777777" w:rsidR="004A5A14" w:rsidRDefault="004A5A14" w:rsidP="28FAE5F3">
      <w:pPr>
        <w:tabs>
          <w:tab w:val="center" w:pos="4680"/>
        </w:tabs>
        <w:jc w:val="both"/>
      </w:pPr>
    </w:p>
    <w:p w14:paraId="6A9B8B09" w14:textId="77777777" w:rsidR="004A5A14" w:rsidRDefault="004A5A14" w:rsidP="28FAE5F3">
      <w:pPr>
        <w:tabs>
          <w:tab w:val="center" w:pos="4680"/>
        </w:tabs>
        <w:jc w:val="both"/>
      </w:pPr>
    </w:p>
    <w:p w14:paraId="4D228475" w14:textId="77777777" w:rsidR="004A5A14" w:rsidRDefault="004A5A14" w:rsidP="28FAE5F3">
      <w:pPr>
        <w:tabs>
          <w:tab w:val="center" w:pos="4680"/>
        </w:tabs>
        <w:jc w:val="both"/>
      </w:pPr>
    </w:p>
    <w:p w14:paraId="02C996C7" w14:textId="77777777" w:rsidR="004A5A14" w:rsidRDefault="004A5A14" w:rsidP="28FAE5F3">
      <w:pPr>
        <w:tabs>
          <w:tab w:val="center" w:pos="4680"/>
        </w:tabs>
        <w:jc w:val="both"/>
      </w:pPr>
    </w:p>
    <w:p w14:paraId="379EAB65" w14:textId="77777777" w:rsidR="004A5A14" w:rsidRDefault="004A5A14" w:rsidP="28FAE5F3">
      <w:pPr>
        <w:tabs>
          <w:tab w:val="center" w:pos="4680"/>
        </w:tabs>
        <w:jc w:val="both"/>
      </w:pPr>
    </w:p>
    <w:p w14:paraId="01D13733" w14:textId="77777777" w:rsidR="004A5A14" w:rsidRDefault="004A5A14" w:rsidP="28FAE5F3">
      <w:pPr>
        <w:tabs>
          <w:tab w:val="center" w:pos="4680"/>
        </w:tabs>
        <w:jc w:val="both"/>
      </w:pPr>
    </w:p>
    <w:p w14:paraId="5A01D6C0" w14:textId="77777777" w:rsidR="003A02B7" w:rsidRDefault="003A02B7" w:rsidP="28FAE5F3">
      <w:pPr>
        <w:tabs>
          <w:tab w:val="center" w:pos="4680"/>
        </w:tabs>
        <w:jc w:val="both"/>
      </w:pPr>
    </w:p>
    <w:p w14:paraId="566825BE" w14:textId="77777777" w:rsidR="003A02B7" w:rsidRDefault="003A02B7" w:rsidP="28FAE5F3">
      <w:pPr>
        <w:tabs>
          <w:tab w:val="center" w:pos="4680"/>
        </w:tabs>
        <w:jc w:val="both"/>
      </w:pPr>
    </w:p>
    <w:p w14:paraId="742D4787" w14:textId="77777777" w:rsidR="003A02B7" w:rsidRDefault="003A02B7" w:rsidP="28FAE5F3">
      <w:pPr>
        <w:tabs>
          <w:tab w:val="center" w:pos="4680"/>
        </w:tabs>
        <w:jc w:val="both"/>
      </w:pPr>
    </w:p>
    <w:p w14:paraId="023BB823" w14:textId="77777777" w:rsidR="003A02B7" w:rsidRDefault="003A02B7" w:rsidP="28FAE5F3">
      <w:pPr>
        <w:tabs>
          <w:tab w:val="center" w:pos="4680"/>
        </w:tabs>
        <w:jc w:val="both"/>
      </w:pPr>
    </w:p>
    <w:p w14:paraId="3C8DD0F7" w14:textId="77777777" w:rsidR="003A02B7" w:rsidRDefault="003A02B7" w:rsidP="28FAE5F3">
      <w:pPr>
        <w:tabs>
          <w:tab w:val="center" w:pos="4680"/>
        </w:tabs>
        <w:jc w:val="both"/>
      </w:pPr>
    </w:p>
    <w:p w14:paraId="4E78286C" w14:textId="77777777" w:rsidR="003A02B7" w:rsidRDefault="003A02B7" w:rsidP="28FAE5F3">
      <w:pPr>
        <w:tabs>
          <w:tab w:val="center" w:pos="4680"/>
        </w:tabs>
        <w:jc w:val="both"/>
      </w:pPr>
    </w:p>
    <w:p w14:paraId="6CDFE26F" w14:textId="77777777" w:rsidR="003A02B7" w:rsidRDefault="003A02B7" w:rsidP="28FAE5F3">
      <w:pPr>
        <w:tabs>
          <w:tab w:val="center" w:pos="4680"/>
        </w:tabs>
        <w:jc w:val="both"/>
      </w:pPr>
    </w:p>
    <w:p w14:paraId="2C33A4B4" w14:textId="77777777" w:rsidR="00BE60F3" w:rsidRDefault="00BE60F3" w:rsidP="28FAE5F3">
      <w:pPr>
        <w:tabs>
          <w:tab w:val="center" w:pos="4680"/>
        </w:tabs>
        <w:jc w:val="both"/>
      </w:pPr>
    </w:p>
    <w:p w14:paraId="1AFAFE6B" w14:textId="18AD246D" w:rsidR="00C63FD6" w:rsidRPr="00C63FD6" w:rsidRDefault="00C63FD6" w:rsidP="00C63FD6">
      <w:pPr>
        <w:tabs>
          <w:tab w:val="center" w:pos="4680"/>
        </w:tabs>
        <w:jc w:val="both"/>
        <w:rPr>
          <w:rFonts w:ascii="Calibri" w:hAnsi="Calibri" w:cs="Calibri"/>
        </w:rPr>
      </w:pPr>
      <w:r>
        <w:rPr>
          <w:rFonts w:ascii="Calibri" w:hAnsi="Calibri" w:cs="Calibri"/>
          <w:b/>
          <w:bCs/>
        </w:rPr>
        <w:t xml:space="preserve">Annex 1:  </w:t>
      </w:r>
      <w:r w:rsidRPr="00C63FD6">
        <w:rPr>
          <w:rFonts w:ascii="Calibri" w:hAnsi="Calibri" w:cs="Calibri"/>
          <w:b/>
          <w:bCs/>
        </w:rPr>
        <w:t>Proposed Methodology, Approach and Implementation Plan</w:t>
      </w:r>
      <w:r w:rsidRPr="00C63FD6">
        <w:rPr>
          <w:rFonts w:ascii="Calibri" w:hAnsi="Calibri" w:cs="Calibri"/>
        </w:rPr>
        <w:t xml:space="preserve"> </w:t>
      </w:r>
    </w:p>
    <w:p w14:paraId="390F4ABA" w14:textId="68556094" w:rsidR="00C63FD6" w:rsidRPr="004A5A14" w:rsidRDefault="00C63FD6" w:rsidP="00C63FD6">
      <w:pPr>
        <w:jc w:val="both"/>
        <w:rPr>
          <w:rFonts w:ascii="Calibri" w:hAnsi="Calibri" w:cs="Calibri"/>
        </w:rPr>
      </w:pPr>
      <w:r w:rsidRPr="008916FA">
        <w:rPr>
          <w:rFonts w:ascii="Calibri" w:hAnsi="Calibri" w:cs="Calibri"/>
        </w:rPr>
        <w:t xml:space="preserve">In support of the technical proposal and evaluation process (section </w:t>
      </w:r>
      <w:r>
        <w:rPr>
          <w:rFonts w:ascii="Calibri" w:hAnsi="Calibri" w:cs="Calibri"/>
        </w:rPr>
        <w:t xml:space="preserve">11 </w:t>
      </w:r>
      <w:r w:rsidRPr="008916FA">
        <w:rPr>
          <w:rFonts w:ascii="Calibri" w:hAnsi="Calibri" w:cs="Calibri"/>
        </w:rPr>
        <w:t>) we strong</w:t>
      </w:r>
      <w:r>
        <w:rPr>
          <w:rFonts w:ascii="Calibri" w:hAnsi="Calibri" w:cs="Calibri"/>
        </w:rPr>
        <w:t>ly</w:t>
      </w:r>
      <w:r w:rsidRPr="008916FA">
        <w:rPr>
          <w:rFonts w:ascii="Calibri" w:hAnsi="Calibri" w:cs="Calibri"/>
        </w:rPr>
        <w:t xml:space="preserve"> suggest interested firms to address the following key areas</w:t>
      </w:r>
      <w:r>
        <w:rPr>
          <w:rFonts w:ascii="Calibri" w:hAnsi="Calibri" w:cs="Calibri"/>
        </w:rPr>
        <w:t xml:space="preserve">, in their technical proposals: </w:t>
      </w:r>
    </w:p>
    <w:p w14:paraId="36785647" w14:textId="77777777" w:rsidR="000057FB" w:rsidRDefault="00C63FD6" w:rsidP="00C63FD6">
      <w:pPr>
        <w:pStyle w:val="ListParagraph"/>
        <w:numPr>
          <w:ilvl w:val="0"/>
          <w:numId w:val="16"/>
        </w:numPr>
        <w:jc w:val="both"/>
        <w:rPr>
          <w:rFonts w:ascii="Calibri" w:hAnsi="Calibri" w:cs="Calibri"/>
        </w:rPr>
      </w:pPr>
      <w:r w:rsidRPr="004A5A14">
        <w:rPr>
          <w:rFonts w:ascii="Calibri" w:hAnsi="Calibri" w:cs="Calibri"/>
          <w:u w:val="single"/>
        </w:rPr>
        <w:t>Performance and Geographical Coverage:</w:t>
      </w:r>
      <w:r w:rsidRPr="004A5A14">
        <w:rPr>
          <w:rFonts w:ascii="Calibri" w:hAnsi="Calibri" w:cs="Calibri"/>
          <w:b/>
          <w:bCs/>
        </w:rPr>
        <w:t xml:space="preserve"> </w:t>
      </w:r>
      <w:r w:rsidRPr="004A5A14">
        <w:rPr>
          <w:rFonts w:ascii="Calibri" w:hAnsi="Calibri" w:cs="Calibri"/>
        </w:rPr>
        <w:t>Describe the company and provide a record of the financial performance over the last three years, number and categories of staff, and geographical location of company re</w:t>
      </w:r>
      <w:r w:rsidR="73CB6CE2" w:rsidRPr="004A5A14">
        <w:rPr>
          <w:rFonts w:ascii="Calibri" w:hAnsi="Calibri" w:cs="Calibri"/>
        </w:rPr>
        <w:t>p</w:t>
      </w:r>
      <w:r w:rsidRPr="004A5A14">
        <w:rPr>
          <w:rFonts w:ascii="Calibri" w:hAnsi="Calibri" w:cs="Calibri"/>
        </w:rPr>
        <w:t>resentatives. Please describe the ownership and governance structure of the company.</w:t>
      </w:r>
    </w:p>
    <w:p w14:paraId="52B44440" w14:textId="58898A7E" w:rsidR="000057FB" w:rsidRDefault="3B08EBF3" w:rsidP="00C63FD6">
      <w:pPr>
        <w:pStyle w:val="ListParagraph"/>
        <w:numPr>
          <w:ilvl w:val="0"/>
          <w:numId w:val="16"/>
        </w:numPr>
        <w:jc w:val="both"/>
        <w:rPr>
          <w:rFonts w:ascii="Calibri" w:hAnsi="Calibri" w:cs="Calibri"/>
        </w:rPr>
      </w:pPr>
      <w:r w:rsidRPr="000057FB">
        <w:rPr>
          <w:rFonts w:ascii="Calibri" w:hAnsi="Calibri" w:cs="Calibri"/>
          <w:u w:val="single"/>
        </w:rPr>
        <w:t xml:space="preserve">Related </w:t>
      </w:r>
      <w:r w:rsidR="5FC09F7D" w:rsidRPr="000057FB">
        <w:rPr>
          <w:rFonts w:ascii="Calibri" w:hAnsi="Calibri" w:cs="Calibri"/>
          <w:u w:val="single"/>
        </w:rPr>
        <w:t>experience</w:t>
      </w:r>
      <w:r w:rsidR="00C63FD6" w:rsidRPr="000057FB">
        <w:rPr>
          <w:rFonts w:ascii="Calibri" w:hAnsi="Calibri" w:cs="Calibri"/>
          <w:b/>
          <w:bCs/>
        </w:rPr>
        <w:t xml:space="preserve">: </w:t>
      </w:r>
      <w:r w:rsidR="00C63FD6" w:rsidRPr="000057FB">
        <w:rPr>
          <w:rFonts w:ascii="Calibri" w:hAnsi="Calibri" w:cs="Calibri"/>
        </w:rPr>
        <w:t xml:space="preserve">explain if the company has any experience </w:t>
      </w:r>
      <w:r w:rsidR="5642DDC2" w:rsidRPr="000057FB">
        <w:rPr>
          <w:rFonts w:ascii="Calibri" w:hAnsi="Calibri" w:cs="Calibri"/>
        </w:rPr>
        <w:t xml:space="preserve">in investing on </w:t>
      </w:r>
      <w:r w:rsidR="00C63FD6" w:rsidRPr="000057FB">
        <w:rPr>
          <w:rFonts w:ascii="Calibri" w:hAnsi="Calibri" w:cs="Calibri"/>
        </w:rPr>
        <w:t>start-ups and SMEs in Africa</w:t>
      </w:r>
      <w:r w:rsidR="3F2EEB41" w:rsidRPr="000057FB">
        <w:rPr>
          <w:rFonts w:ascii="Calibri" w:hAnsi="Calibri" w:cs="Calibri"/>
        </w:rPr>
        <w:t>, raising and managing similar size funds and managing a fund of fund</w:t>
      </w:r>
      <w:r w:rsidR="00C63FD6" w:rsidRPr="000057FB">
        <w:rPr>
          <w:rFonts w:ascii="Calibri" w:hAnsi="Calibri" w:cs="Calibri"/>
        </w:rPr>
        <w:t>.</w:t>
      </w:r>
    </w:p>
    <w:p w14:paraId="7611775A" w14:textId="75886DAA" w:rsidR="000057FB" w:rsidRPr="000057FB" w:rsidRDefault="00C63FD6" w:rsidP="00C63FD6">
      <w:pPr>
        <w:pStyle w:val="ListParagraph"/>
        <w:numPr>
          <w:ilvl w:val="0"/>
          <w:numId w:val="16"/>
        </w:numPr>
        <w:jc w:val="both"/>
        <w:rPr>
          <w:rFonts w:ascii="Calibri" w:hAnsi="Calibri" w:cs="Calibri"/>
        </w:rPr>
      </w:pPr>
      <w:r w:rsidRPr="07F42B70">
        <w:rPr>
          <w:rFonts w:ascii="Calibri" w:hAnsi="Calibri" w:cs="Calibri"/>
          <w:u w:val="single"/>
        </w:rPr>
        <w:t>Investment Process</w:t>
      </w:r>
      <w:r w:rsidRPr="07F42B70">
        <w:rPr>
          <w:rFonts w:ascii="Calibri" w:hAnsi="Calibri" w:cs="Calibri"/>
          <w:b/>
          <w:bCs/>
        </w:rPr>
        <w:t xml:space="preserve">: </w:t>
      </w:r>
      <w:r w:rsidRPr="07F42B70">
        <w:rPr>
          <w:rFonts w:ascii="Calibri" w:hAnsi="Calibri" w:cs="Calibri"/>
        </w:rPr>
        <w:t xml:space="preserve">Describe the due diligence process you use to assess, </w:t>
      </w:r>
      <w:r w:rsidR="00532AE4" w:rsidRPr="07F42B70">
        <w:rPr>
          <w:rFonts w:ascii="Calibri" w:hAnsi="Calibri" w:cs="Calibri"/>
        </w:rPr>
        <w:t>execute,</w:t>
      </w:r>
      <w:r w:rsidRPr="07F42B70">
        <w:rPr>
          <w:rFonts w:ascii="Calibri" w:hAnsi="Calibri" w:cs="Calibri"/>
        </w:rPr>
        <w:t xml:space="preserve"> and monitor potential investments. </w:t>
      </w:r>
    </w:p>
    <w:p w14:paraId="6660346C" w14:textId="6508C2BF" w:rsidR="000057FB" w:rsidRPr="000057FB" w:rsidRDefault="00C63FD6" w:rsidP="00C63FD6">
      <w:pPr>
        <w:pStyle w:val="ListParagraph"/>
        <w:numPr>
          <w:ilvl w:val="0"/>
          <w:numId w:val="16"/>
        </w:numPr>
        <w:jc w:val="both"/>
        <w:rPr>
          <w:rFonts w:ascii="Calibri" w:hAnsi="Calibri" w:cs="Calibri"/>
          <w:color w:val="000000" w:themeColor="text1"/>
        </w:rPr>
      </w:pPr>
      <w:r w:rsidRPr="000057FB">
        <w:rPr>
          <w:rFonts w:ascii="Calibri" w:hAnsi="Calibri" w:cs="Calibri"/>
          <w:u w:val="single"/>
        </w:rPr>
        <w:t>Financial Instruments</w:t>
      </w:r>
      <w:r w:rsidRPr="000057FB">
        <w:rPr>
          <w:rFonts w:ascii="Calibri" w:hAnsi="Calibri" w:cs="Calibri"/>
          <w:b/>
          <w:bCs/>
        </w:rPr>
        <w:t xml:space="preserve">: </w:t>
      </w:r>
      <w:r w:rsidRPr="000057FB">
        <w:rPr>
          <w:rFonts w:ascii="Calibri" w:hAnsi="Calibri" w:cs="Calibri"/>
        </w:rPr>
        <w:t>Describe the company’s experience in deployment of different financial instrument</w:t>
      </w:r>
      <w:r w:rsidRPr="000057FB">
        <w:rPr>
          <w:rFonts w:ascii="Calibri" w:hAnsi="Calibri" w:cs="Calibri"/>
          <w:color w:val="000000" w:themeColor="text1"/>
        </w:rPr>
        <w:t xml:space="preserve">s. </w:t>
      </w:r>
    </w:p>
    <w:p w14:paraId="2676AEE4" w14:textId="3598E7B6" w:rsidR="00C63FD6" w:rsidRPr="000057FB" w:rsidRDefault="00C63FD6" w:rsidP="00C63FD6">
      <w:pPr>
        <w:pStyle w:val="ListParagraph"/>
        <w:numPr>
          <w:ilvl w:val="0"/>
          <w:numId w:val="16"/>
        </w:numPr>
        <w:jc w:val="both"/>
        <w:rPr>
          <w:rFonts w:ascii="Calibri" w:hAnsi="Calibri" w:cs="Calibri"/>
        </w:rPr>
      </w:pPr>
      <w:r w:rsidRPr="000057FB">
        <w:rPr>
          <w:rFonts w:ascii="Calibri" w:hAnsi="Calibri" w:cs="Calibri"/>
          <w:u w:val="single"/>
        </w:rPr>
        <w:t>Fundraising</w:t>
      </w:r>
      <w:r w:rsidRPr="000057FB">
        <w:rPr>
          <w:rFonts w:ascii="Calibri" w:hAnsi="Calibri" w:cs="Calibri"/>
        </w:rPr>
        <w:t xml:space="preserve">: Describe the fundraising strategy, approach, timelines, </w:t>
      </w:r>
      <w:r w:rsidR="00532AE4" w:rsidRPr="000057FB">
        <w:rPr>
          <w:rFonts w:ascii="Calibri" w:hAnsi="Calibri" w:cs="Calibri"/>
        </w:rPr>
        <w:t>milestones,</w:t>
      </w:r>
      <w:r w:rsidRPr="000057FB">
        <w:rPr>
          <w:rFonts w:ascii="Calibri" w:hAnsi="Calibri" w:cs="Calibri"/>
        </w:rPr>
        <w:t xml:space="preserve"> and the extent to which targets were met on past or existing funds. Please additionally describe any challenges faced in the past, challenges overcome, and other relevant information related to fundraising activities.</w:t>
      </w:r>
    </w:p>
    <w:p w14:paraId="32202B9C" w14:textId="3EDD2054" w:rsidR="00C63FD6" w:rsidRPr="008916FA" w:rsidRDefault="00C63FD6" w:rsidP="00C63FD6">
      <w:pPr>
        <w:tabs>
          <w:tab w:val="center" w:pos="4680"/>
        </w:tabs>
        <w:jc w:val="both"/>
        <w:rPr>
          <w:rFonts w:ascii="Calibri" w:hAnsi="Calibri" w:cs="Calibri"/>
          <w:i/>
          <w:iCs/>
        </w:rPr>
      </w:pPr>
      <w:r w:rsidRPr="008916FA">
        <w:rPr>
          <w:rFonts w:ascii="Calibri" w:hAnsi="Calibri" w:cs="Calibri"/>
          <w:i/>
          <w:iCs/>
        </w:rPr>
        <w:t xml:space="preserve">We want to encourage applicants to be creative in finding a structure that will attract donor funds and return seeking </w:t>
      </w:r>
      <w:r w:rsidR="00532AE4" w:rsidRPr="008916FA">
        <w:rPr>
          <w:rFonts w:ascii="Calibri" w:hAnsi="Calibri" w:cs="Calibri"/>
          <w:i/>
          <w:iCs/>
        </w:rPr>
        <w:t>capital and</w:t>
      </w:r>
      <w:r w:rsidRPr="008916FA">
        <w:rPr>
          <w:rFonts w:ascii="Calibri" w:hAnsi="Calibri" w:cs="Calibri"/>
          <w:i/>
          <w:iCs/>
        </w:rPr>
        <w:t xml:space="preserve"> reflect these in their technical proposal. </w:t>
      </w:r>
    </w:p>
    <w:p w14:paraId="15E43DBC" w14:textId="77777777" w:rsidR="000057FB" w:rsidRDefault="00C63FD6" w:rsidP="00C63FD6">
      <w:pPr>
        <w:pStyle w:val="ListParagraph"/>
        <w:numPr>
          <w:ilvl w:val="0"/>
          <w:numId w:val="16"/>
        </w:numPr>
        <w:tabs>
          <w:tab w:val="center" w:pos="4680"/>
        </w:tabs>
        <w:jc w:val="both"/>
        <w:rPr>
          <w:rFonts w:ascii="Calibri" w:hAnsi="Calibri" w:cs="Calibri"/>
        </w:rPr>
      </w:pPr>
      <w:r w:rsidRPr="000057FB">
        <w:rPr>
          <w:rFonts w:ascii="Calibri" w:hAnsi="Calibri" w:cs="Calibri"/>
          <w:u w:val="single"/>
        </w:rPr>
        <w:t xml:space="preserve">Attracting Capital Providers: </w:t>
      </w:r>
      <w:r w:rsidRPr="000057FB">
        <w:rPr>
          <w:rFonts w:ascii="Calibri" w:hAnsi="Calibri" w:cs="Calibri"/>
        </w:rPr>
        <w:t>How would you market the Fund to be successful? Through what channels? To whom?</w:t>
      </w:r>
    </w:p>
    <w:p w14:paraId="1A25C215" w14:textId="77777777" w:rsidR="000057FB" w:rsidRDefault="00C63FD6" w:rsidP="00C63FD6">
      <w:pPr>
        <w:pStyle w:val="ListParagraph"/>
        <w:numPr>
          <w:ilvl w:val="0"/>
          <w:numId w:val="16"/>
        </w:numPr>
        <w:tabs>
          <w:tab w:val="center" w:pos="4680"/>
        </w:tabs>
        <w:jc w:val="both"/>
        <w:rPr>
          <w:rFonts w:ascii="Calibri" w:hAnsi="Calibri" w:cs="Calibri"/>
        </w:rPr>
      </w:pPr>
      <w:r w:rsidRPr="000057FB">
        <w:rPr>
          <w:rFonts w:ascii="Calibri" w:hAnsi="Calibri" w:cs="Calibri"/>
          <w:u w:val="single"/>
        </w:rPr>
        <w:t xml:space="preserve">Investment Guidelines: </w:t>
      </w:r>
      <w:r w:rsidRPr="000057FB">
        <w:rPr>
          <w:rFonts w:ascii="Calibri" w:hAnsi="Calibri" w:cs="Calibri"/>
        </w:rPr>
        <w:t>Given what you know about the investment opportunities generated by UNDP, how would you design the investment guidelines for the fund?</w:t>
      </w:r>
    </w:p>
    <w:p w14:paraId="0E320BDB" w14:textId="77777777" w:rsidR="000057FB" w:rsidRDefault="00C63FD6" w:rsidP="00C63FD6">
      <w:pPr>
        <w:pStyle w:val="ListParagraph"/>
        <w:numPr>
          <w:ilvl w:val="0"/>
          <w:numId w:val="16"/>
        </w:numPr>
        <w:tabs>
          <w:tab w:val="center" w:pos="4680"/>
        </w:tabs>
        <w:jc w:val="both"/>
        <w:rPr>
          <w:rFonts w:ascii="Calibri" w:hAnsi="Calibri" w:cs="Calibri"/>
        </w:rPr>
      </w:pPr>
      <w:r w:rsidRPr="000057FB">
        <w:rPr>
          <w:rFonts w:ascii="Calibri" w:hAnsi="Calibri" w:cs="Calibri"/>
          <w:u w:val="single"/>
        </w:rPr>
        <w:t xml:space="preserve">Governance Structure: </w:t>
      </w:r>
      <w:r w:rsidRPr="000057FB">
        <w:rPr>
          <w:rFonts w:ascii="Calibri" w:hAnsi="Calibri" w:cs="Calibri"/>
        </w:rPr>
        <w:t>Describe the governance structure you would propose for the fund.</w:t>
      </w:r>
    </w:p>
    <w:p w14:paraId="57AB0A43" w14:textId="77777777" w:rsidR="000057FB" w:rsidRDefault="00C63FD6" w:rsidP="00C63FD6">
      <w:pPr>
        <w:pStyle w:val="ListParagraph"/>
        <w:numPr>
          <w:ilvl w:val="0"/>
          <w:numId w:val="16"/>
        </w:numPr>
        <w:tabs>
          <w:tab w:val="center" w:pos="4680"/>
        </w:tabs>
        <w:jc w:val="both"/>
        <w:rPr>
          <w:rFonts w:ascii="Calibri" w:hAnsi="Calibri" w:cs="Calibri"/>
        </w:rPr>
      </w:pPr>
      <w:r w:rsidRPr="000057FB">
        <w:rPr>
          <w:rFonts w:ascii="Calibri" w:hAnsi="Calibri" w:cs="Calibri"/>
          <w:u w:val="single"/>
        </w:rPr>
        <w:t>Risk framework:  what</w:t>
      </w:r>
      <w:r w:rsidRPr="000057FB">
        <w:rPr>
          <w:rFonts w:ascii="Calibri" w:hAnsi="Calibri" w:cs="Calibri"/>
        </w:rPr>
        <w:t xml:space="preserve"> risk do you anticipate and explain the risk framework while setting up the fund and later during execution?</w:t>
      </w:r>
    </w:p>
    <w:p w14:paraId="09AC127E" w14:textId="77777777" w:rsidR="000057FB" w:rsidRDefault="00C63FD6" w:rsidP="00C63FD6">
      <w:pPr>
        <w:pStyle w:val="ListParagraph"/>
        <w:numPr>
          <w:ilvl w:val="0"/>
          <w:numId w:val="16"/>
        </w:numPr>
        <w:tabs>
          <w:tab w:val="center" w:pos="4680"/>
        </w:tabs>
        <w:jc w:val="both"/>
        <w:rPr>
          <w:rFonts w:ascii="Calibri" w:hAnsi="Calibri" w:cs="Calibri"/>
        </w:rPr>
      </w:pPr>
      <w:r w:rsidRPr="000057FB">
        <w:rPr>
          <w:rFonts w:ascii="Calibri" w:hAnsi="Calibri" w:cs="Calibri"/>
          <w:u w:val="single"/>
        </w:rPr>
        <w:t xml:space="preserve">Fund Management: </w:t>
      </w:r>
      <w:r w:rsidRPr="000057FB">
        <w:rPr>
          <w:rFonts w:ascii="Calibri" w:hAnsi="Calibri" w:cs="Calibri"/>
        </w:rPr>
        <w:t xml:space="preserve">How would you see the fund management implemented? Particularly, how would you see the Fund Manager interact with UNDP from an origination, execution and portfolio management point of view? In case the quality of the UNDP pipeline is not sufficient for the return profile proposed, how would you propose to mitigate such a scenario? </w:t>
      </w:r>
    </w:p>
    <w:p w14:paraId="32724F47" w14:textId="66B0B7DA" w:rsidR="000057FB" w:rsidRDefault="00C63FD6" w:rsidP="00C63FD6">
      <w:pPr>
        <w:pStyle w:val="ListParagraph"/>
        <w:numPr>
          <w:ilvl w:val="0"/>
          <w:numId w:val="16"/>
        </w:numPr>
        <w:tabs>
          <w:tab w:val="center" w:pos="4680"/>
        </w:tabs>
        <w:jc w:val="both"/>
        <w:rPr>
          <w:rFonts w:ascii="Calibri" w:hAnsi="Calibri" w:cs="Calibri"/>
        </w:rPr>
      </w:pPr>
      <w:r w:rsidRPr="000057FB">
        <w:rPr>
          <w:rFonts w:ascii="Calibri" w:hAnsi="Calibri" w:cs="Calibri"/>
          <w:u w:val="single"/>
        </w:rPr>
        <w:t>What is your competitive advantage</w:t>
      </w:r>
      <w:r w:rsidRPr="000057FB">
        <w:rPr>
          <w:rFonts w:ascii="Calibri" w:hAnsi="Calibri" w:cs="Calibri"/>
        </w:rPr>
        <w:t xml:space="preserve">? And based on the </w:t>
      </w:r>
      <w:r w:rsidR="2E0F1626" w:rsidRPr="000057FB">
        <w:rPr>
          <w:rFonts w:ascii="Calibri" w:hAnsi="Calibri" w:cs="Calibri"/>
        </w:rPr>
        <w:t xml:space="preserve">parameters </w:t>
      </w:r>
      <w:r w:rsidRPr="000057FB">
        <w:rPr>
          <w:rFonts w:ascii="Calibri" w:hAnsi="Calibri" w:cs="Calibri"/>
        </w:rPr>
        <w:t>of the fund please indicate how the financial model (cash flows and returns), management fees, portfolio structuring and forecasting for the fund could look like?</w:t>
      </w:r>
    </w:p>
    <w:p w14:paraId="31E113E5" w14:textId="20A69A18" w:rsidR="00C63FD6" w:rsidRPr="000057FB" w:rsidRDefault="00C63FD6" w:rsidP="00C63FD6">
      <w:pPr>
        <w:pStyle w:val="ListParagraph"/>
        <w:numPr>
          <w:ilvl w:val="0"/>
          <w:numId w:val="16"/>
        </w:numPr>
        <w:tabs>
          <w:tab w:val="center" w:pos="4680"/>
        </w:tabs>
        <w:jc w:val="both"/>
        <w:rPr>
          <w:rFonts w:ascii="Calibri" w:hAnsi="Calibri" w:cs="Calibri"/>
        </w:rPr>
      </w:pPr>
      <w:r w:rsidRPr="000057FB">
        <w:rPr>
          <w:rFonts w:ascii="Calibri" w:hAnsi="Calibri" w:cs="Calibri"/>
          <w:u w:val="single"/>
        </w:rPr>
        <w:t xml:space="preserve">Follow-up on Social Metrics: </w:t>
      </w:r>
      <w:r w:rsidRPr="000057FB">
        <w:rPr>
          <w:rFonts w:ascii="Calibri" w:hAnsi="Calibri" w:cs="Calibri"/>
        </w:rPr>
        <w:t xml:space="preserve">How would you generate the social metrics, what methodologies would you employ, how would it be documented and how would it be reported back to the funders (and the supported businesses)?  </w:t>
      </w:r>
    </w:p>
    <w:p w14:paraId="0507E579" w14:textId="77777777" w:rsidR="00C63FD6" w:rsidRDefault="00C63FD6" w:rsidP="28FAE5F3">
      <w:pPr>
        <w:tabs>
          <w:tab w:val="center" w:pos="4680"/>
        </w:tabs>
        <w:jc w:val="both"/>
      </w:pPr>
    </w:p>
    <w:p w14:paraId="2FC38510" w14:textId="77777777" w:rsidR="005E2DA3" w:rsidRDefault="005E2DA3" w:rsidP="28FAE5F3">
      <w:pPr>
        <w:tabs>
          <w:tab w:val="center" w:pos="4680"/>
        </w:tabs>
        <w:jc w:val="both"/>
        <w:sectPr w:rsidR="005E2DA3" w:rsidSect="0091044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90" w:footer="720" w:gutter="0"/>
          <w:cols w:space="720"/>
          <w:docGrid w:linePitch="360"/>
        </w:sectPr>
      </w:pPr>
    </w:p>
    <w:p w14:paraId="7695BA71" w14:textId="77777777" w:rsidR="00C63FD6" w:rsidRDefault="00C63FD6" w:rsidP="28FAE5F3">
      <w:pPr>
        <w:tabs>
          <w:tab w:val="center" w:pos="4680"/>
        </w:tabs>
        <w:jc w:val="both"/>
      </w:pPr>
    </w:p>
    <w:p w14:paraId="579470D8" w14:textId="77777777" w:rsidR="00A8347E" w:rsidRDefault="005D564D" w:rsidP="005D564D">
      <w:pPr>
        <w:tabs>
          <w:tab w:val="center" w:pos="4680"/>
        </w:tabs>
        <w:jc w:val="both"/>
        <w:rPr>
          <w:rFonts w:ascii="Calibri" w:hAnsi="Calibri" w:cs="Calibri"/>
          <w:b/>
          <w:bCs/>
        </w:rPr>
      </w:pPr>
      <w:r>
        <w:rPr>
          <w:rFonts w:ascii="Calibri" w:hAnsi="Calibri" w:cs="Calibri"/>
          <w:b/>
          <w:bCs/>
        </w:rPr>
        <w:t xml:space="preserve">Annex 2:  </w:t>
      </w:r>
      <w:r w:rsidR="00A8347E">
        <w:rPr>
          <w:rFonts w:ascii="Calibri" w:hAnsi="Calibri" w:cs="Calibri"/>
          <w:b/>
          <w:bCs/>
        </w:rPr>
        <w:t xml:space="preserve">Summary of EFF Expected Parameters </w:t>
      </w:r>
    </w:p>
    <w:p w14:paraId="1DA712A1" w14:textId="77777777" w:rsidR="00A8347E" w:rsidRDefault="00A8347E" w:rsidP="005D564D">
      <w:pPr>
        <w:tabs>
          <w:tab w:val="center" w:pos="4680"/>
        </w:tabs>
        <w:jc w:val="both"/>
        <w:rPr>
          <w:rFonts w:ascii="Calibri" w:hAnsi="Calibri" w:cs="Calibri"/>
          <w:b/>
          <w:bCs/>
        </w:rPr>
      </w:pPr>
    </w:p>
    <w:p w14:paraId="2F07FC76" w14:textId="77777777" w:rsidR="005E2DA3" w:rsidRPr="00453DB8" w:rsidRDefault="005E2DA3" w:rsidP="005E2DA3">
      <w:pPr>
        <w:rPr>
          <w:rFonts w:eastAsia="Times New Roman"/>
          <w:color w:val="4472C4" w:themeColor="accent1"/>
          <w:sz w:val="32"/>
          <w:szCs w:val="32"/>
          <w:lang w:val="en-GB"/>
        </w:rPr>
      </w:pPr>
      <w:r w:rsidRPr="00453DB8">
        <w:rPr>
          <w:rFonts w:eastAsia="Times New Roman"/>
          <w:color w:val="4472C4" w:themeColor="accent1"/>
          <w:sz w:val="32"/>
          <w:szCs w:val="32"/>
          <w:lang w:val="en-GB"/>
        </w:rPr>
        <w:t>Summary of EFF expected parameters.</w:t>
      </w:r>
    </w:p>
    <w:p w14:paraId="606CF9F5" w14:textId="77777777" w:rsidR="005E2DA3" w:rsidRPr="00F27AE0" w:rsidRDefault="005E2DA3" w:rsidP="005E2DA3">
      <w:pPr>
        <w:pBdr>
          <w:top w:val="single" w:sz="4" w:space="1" w:color="auto"/>
          <w:left w:val="single" w:sz="4" w:space="4" w:color="auto"/>
          <w:bottom w:val="single" w:sz="4" w:space="1" w:color="auto"/>
          <w:right w:val="single" w:sz="4" w:space="4" w:color="auto"/>
        </w:pBdr>
        <w:shd w:val="clear" w:color="auto" w:fill="FCFCFC" w:themeFill="background2" w:themeFillTint="1A"/>
        <w:jc w:val="both"/>
        <w:rPr>
          <w:sz w:val="20"/>
          <w:szCs w:val="20"/>
          <w:lang w:val="en-GB"/>
        </w:rPr>
      </w:pPr>
      <w:r w:rsidRPr="00F27AE0">
        <w:rPr>
          <w:sz w:val="20"/>
          <w:szCs w:val="20"/>
          <w:lang w:val="en-GB"/>
        </w:rPr>
        <w:t xml:space="preserve">The EFF fund was designed after a market assessment and stakeholders’ consultation that demonstrated </w:t>
      </w:r>
      <w:r w:rsidRPr="00F27AE0">
        <w:rPr>
          <w:b/>
          <w:bCs/>
          <w:sz w:val="20"/>
          <w:szCs w:val="20"/>
          <w:lang w:val="en-GB"/>
        </w:rPr>
        <w:t>structuring the long-term EFF as a Fund-of-Funds</w:t>
      </w:r>
      <w:r w:rsidRPr="00F27AE0">
        <w:rPr>
          <w:sz w:val="20"/>
          <w:szCs w:val="20"/>
          <w:lang w:val="en-GB"/>
        </w:rPr>
        <w:t xml:space="preserve"> would lever significant and sustainable effects on a national scale, enabling the EFF to deploy the right mix of capital, diversify risk and act as a catalyst for Ethiopia’s investment and entrepreneurial ecosystem. Such approaches work when the stakeholders </w:t>
      </w:r>
      <w:proofErr w:type="gramStart"/>
      <w:r w:rsidRPr="00F27AE0">
        <w:rPr>
          <w:sz w:val="20"/>
          <w:szCs w:val="20"/>
          <w:lang w:val="en-GB"/>
        </w:rPr>
        <w:t>are able to</w:t>
      </w:r>
      <w:proofErr w:type="gramEnd"/>
      <w:r w:rsidRPr="00F27AE0">
        <w:rPr>
          <w:sz w:val="20"/>
          <w:szCs w:val="20"/>
          <w:lang w:val="en-GB"/>
        </w:rPr>
        <w:t xml:space="preserve"> demonstrate that they are already very active.</w:t>
      </w:r>
    </w:p>
    <w:p w14:paraId="4FBE0398" w14:textId="0B9BA34B" w:rsidR="005E2DA3" w:rsidRPr="00F27AE0" w:rsidRDefault="005E2DA3" w:rsidP="005E2DA3">
      <w:pPr>
        <w:pBdr>
          <w:top w:val="single" w:sz="4" w:space="1" w:color="auto"/>
          <w:left w:val="single" w:sz="4" w:space="4" w:color="auto"/>
          <w:bottom w:val="single" w:sz="4" w:space="1" w:color="auto"/>
          <w:right w:val="single" w:sz="4" w:space="4" w:color="auto"/>
        </w:pBdr>
        <w:shd w:val="clear" w:color="auto" w:fill="FCFCFC" w:themeFill="background2" w:themeFillTint="1A"/>
        <w:jc w:val="both"/>
        <w:rPr>
          <w:sz w:val="20"/>
          <w:szCs w:val="20"/>
          <w:lang w:val="en-GB"/>
        </w:rPr>
      </w:pPr>
      <w:r w:rsidRPr="00F27AE0">
        <w:rPr>
          <w:sz w:val="20"/>
          <w:szCs w:val="20"/>
          <w:lang w:val="en-GB"/>
        </w:rPr>
        <w:t xml:space="preserve">This is why the EFF has been designed following </w:t>
      </w:r>
      <w:r w:rsidRPr="00F27AE0">
        <w:rPr>
          <w:b/>
          <w:sz w:val="20"/>
          <w:szCs w:val="20"/>
          <w:lang w:val="en-GB"/>
        </w:rPr>
        <w:t xml:space="preserve">a phased and dual approach. </w:t>
      </w:r>
      <w:r w:rsidRPr="00F27AE0">
        <w:rPr>
          <w:bCs/>
          <w:sz w:val="20"/>
          <w:szCs w:val="20"/>
          <w:lang w:val="en-GB"/>
        </w:rPr>
        <w:t>It includes a</w:t>
      </w:r>
      <w:r w:rsidRPr="00F27AE0">
        <w:rPr>
          <w:sz w:val="20"/>
          <w:szCs w:val="20"/>
          <w:lang w:val="en-GB"/>
        </w:rPr>
        <w:t xml:space="preserve"> </w:t>
      </w:r>
      <w:r w:rsidRPr="00F27AE0">
        <w:rPr>
          <w:b/>
          <w:bCs/>
          <w:sz w:val="20"/>
          <w:szCs w:val="20"/>
          <w:lang w:val="en-GB"/>
        </w:rPr>
        <w:t>short-term strategy with direct investment</w:t>
      </w:r>
      <w:r w:rsidRPr="00F27AE0">
        <w:rPr>
          <w:sz w:val="20"/>
          <w:szCs w:val="20"/>
          <w:lang w:val="en-GB"/>
        </w:rPr>
        <w:t xml:space="preserve"> (direct investments into SMEs and start-ups) and a </w:t>
      </w:r>
      <w:r w:rsidRPr="00F27AE0">
        <w:rPr>
          <w:b/>
          <w:bCs/>
          <w:sz w:val="20"/>
          <w:szCs w:val="20"/>
          <w:lang w:val="en-GB"/>
        </w:rPr>
        <w:t>long-term strategy with indirect investment</w:t>
      </w:r>
      <w:r w:rsidRPr="00F27AE0">
        <w:rPr>
          <w:sz w:val="20"/>
          <w:szCs w:val="20"/>
          <w:lang w:val="en-GB"/>
        </w:rPr>
        <w:t xml:space="preserve"> (operationalisation and deployment of the fund of funds). These two strategies are designed to be </w:t>
      </w:r>
      <w:r w:rsidRPr="00F27AE0">
        <w:rPr>
          <w:b/>
          <w:bCs/>
          <w:sz w:val="20"/>
          <w:szCs w:val="20"/>
          <w:lang w:val="en-GB"/>
        </w:rPr>
        <w:t>implemented simultaneously</w:t>
      </w:r>
      <w:r w:rsidRPr="00F27AE0">
        <w:rPr>
          <w:sz w:val="20"/>
          <w:szCs w:val="20"/>
          <w:lang w:val="en-GB"/>
        </w:rPr>
        <w:t xml:space="preserve"> starting January 2024. They are </w:t>
      </w:r>
      <w:r w:rsidRPr="00F27AE0">
        <w:rPr>
          <w:b/>
          <w:bCs/>
          <w:sz w:val="20"/>
          <w:szCs w:val="20"/>
          <w:lang w:val="en-GB"/>
        </w:rPr>
        <w:t>complementary and interrelated</w:t>
      </w:r>
      <w:r w:rsidRPr="00F27AE0">
        <w:rPr>
          <w:sz w:val="20"/>
          <w:szCs w:val="20"/>
          <w:lang w:val="en-GB"/>
        </w:rPr>
        <w:t xml:space="preserve">. </w:t>
      </w:r>
    </w:p>
    <w:p w14:paraId="479CC505" w14:textId="77777777" w:rsidR="005E2DA3" w:rsidRPr="00BD4C1E" w:rsidRDefault="005E2DA3" w:rsidP="005E2DA3">
      <w:pPr>
        <w:rPr>
          <w:rFonts w:eastAsia="Times New Roman"/>
          <w:color w:val="4472C4" w:themeColor="accent1"/>
          <w:sz w:val="16"/>
          <w:szCs w:val="16"/>
          <w:lang w:val="en-GB"/>
        </w:rPr>
      </w:pPr>
    </w:p>
    <w:tbl>
      <w:tblPr>
        <w:tblW w:w="12564" w:type="dxa"/>
        <w:tblInd w:w="-430" w:type="dxa"/>
        <w:tblCellMar>
          <w:left w:w="0" w:type="dxa"/>
          <w:right w:w="0" w:type="dxa"/>
        </w:tblCellMar>
        <w:tblLook w:val="0400" w:firstRow="0" w:lastRow="0" w:firstColumn="0" w:lastColumn="0" w:noHBand="0" w:noVBand="1"/>
      </w:tblPr>
      <w:tblGrid>
        <w:gridCol w:w="1627"/>
        <w:gridCol w:w="10937"/>
      </w:tblGrid>
      <w:tr w:rsidR="005E2DA3" w:rsidRPr="00837472" w14:paraId="116626C9" w14:textId="77777777">
        <w:trPr>
          <w:trHeight w:val="628"/>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643F32BF"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Fund Manager/General Partner</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678AB2BC" w14:textId="77777777" w:rsidR="005E2DA3" w:rsidRPr="00453DB8" w:rsidRDefault="005E2DA3">
            <w:pPr>
              <w:spacing w:after="0" w:line="240" w:lineRule="auto"/>
              <w:rPr>
                <w:rFonts w:ascii="Calibri" w:eastAsia="Times New Roman" w:hAnsi="Calibri" w:cs="Calibri"/>
                <w:i/>
                <w:iCs/>
                <w:color w:val="A98C4C"/>
                <w:kern w:val="24"/>
                <w:sz w:val="18"/>
                <w:szCs w:val="18"/>
                <w:lang w:eastAsia="fr-FR"/>
              </w:rPr>
            </w:pPr>
          </w:p>
          <w:p w14:paraId="4EF7BEF9"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i/>
                <w:iCs/>
                <w:color w:val="A98C4C"/>
                <w:kern w:val="24"/>
                <w:sz w:val="18"/>
                <w:szCs w:val="18"/>
                <w:lang w:eastAsia="fr-FR"/>
              </w:rPr>
              <w:t xml:space="preserve">To be recruited </w:t>
            </w:r>
            <w:r w:rsidRPr="00453DB8">
              <w:rPr>
                <w:rFonts w:ascii="Calibri" w:eastAsia="Times New Roman" w:hAnsi="Calibri" w:cs="Calibri"/>
                <w:i/>
                <w:iCs/>
                <w:color w:val="000000"/>
                <w:kern w:val="24"/>
                <w:sz w:val="18"/>
                <w:szCs w:val="18"/>
                <w:lang w:eastAsia="fr-FR"/>
              </w:rPr>
              <w:t xml:space="preserve">- An independent private fund manager sourced via a competitive process </w:t>
            </w:r>
          </w:p>
        </w:tc>
      </w:tr>
      <w:tr w:rsidR="005E2DA3" w:rsidRPr="00453DB8" w14:paraId="77E578E1" w14:textId="77777777">
        <w:trPr>
          <w:trHeight w:val="378"/>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16EA95B5"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 xml:space="preserve">Legal Form and domiciliation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407E0C6F"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453DB8">
              <w:rPr>
                <w:rFonts w:ascii="Calibri" w:eastAsia="Times New Roman" w:hAnsi="Calibri" w:cs="Calibri"/>
                <w:b/>
                <w:bCs/>
                <w:color w:val="000000"/>
                <w:kern w:val="24"/>
                <w:sz w:val="18"/>
                <w:szCs w:val="18"/>
                <w:lang w:eastAsia="fr-FR"/>
              </w:rPr>
              <w:t>Domiciliation in Ethiopia</w:t>
            </w:r>
            <w:r w:rsidRPr="00453DB8">
              <w:rPr>
                <w:rFonts w:ascii="Calibri" w:eastAsia="Times New Roman" w:hAnsi="Calibri" w:cs="Calibri"/>
                <w:color w:val="000000"/>
                <w:kern w:val="24"/>
                <w:sz w:val="18"/>
                <w:szCs w:val="18"/>
                <w:lang w:eastAsia="fr-FR"/>
              </w:rPr>
              <w:t xml:space="preserve"> is </w:t>
            </w:r>
            <w:r>
              <w:rPr>
                <w:rFonts w:ascii="Calibri" w:eastAsia="Times New Roman" w:hAnsi="Calibri" w:cs="Calibri"/>
                <w:color w:val="000000"/>
                <w:kern w:val="24"/>
                <w:sz w:val="18"/>
                <w:szCs w:val="18"/>
                <w:lang w:eastAsia="fr-FR"/>
              </w:rPr>
              <w:t xml:space="preserve">required </w:t>
            </w:r>
            <w:r w:rsidRPr="00453DB8">
              <w:rPr>
                <w:rFonts w:ascii="Calibri" w:eastAsia="Times New Roman" w:hAnsi="Calibri" w:cs="Calibri"/>
                <w:color w:val="000000"/>
                <w:kern w:val="24"/>
                <w:sz w:val="18"/>
                <w:szCs w:val="18"/>
                <w:lang w:eastAsia="fr-FR"/>
              </w:rPr>
              <w:t>by the IFL Advisory Board. EFF registration will soon be possible under ECMA directives.</w:t>
            </w:r>
          </w:p>
          <w:p w14:paraId="3EAFC355" w14:textId="77777777" w:rsidR="005E2DA3" w:rsidRPr="00453DB8" w:rsidRDefault="005E2DA3">
            <w:pPr>
              <w:pStyle w:val="ListParagraph"/>
              <w:spacing w:after="0" w:line="240" w:lineRule="auto"/>
              <w:ind w:left="288"/>
              <w:rPr>
                <w:rFonts w:ascii="Calibri" w:eastAsia="Times New Roman" w:hAnsi="Calibri" w:cs="Calibri"/>
                <w:i/>
                <w:iCs/>
                <w:color w:val="000000"/>
                <w:kern w:val="24"/>
                <w:sz w:val="18"/>
                <w:szCs w:val="18"/>
                <w:lang w:eastAsia="fr-FR"/>
              </w:rPr>
            </w:pPr>
          </w:p>
        </w:tc>
      </w:tr>
      <w:tr w:rsidR="005E2DA3" w:rsidRPr="00837472" w14:paraId="6575AE46" w14:textId="77777777">
        <w:trPr>
          <w:trHeight w:val="373"/>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395B4A3F"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 xml:space="preserve">Fund life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7E3C2C1F"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i/>
                <w:iCs/>
                <w:color w:val="000000"/>
                <w:kern w:val="24"/>
                <w:sz w:val="18"/>
                <w:szCs w:val="18"/>
                <w:lang w:eastAsia="fr-FR"/>
              </w:rPr>
            </w:pPr>
            <w:r w:rsidRPr="00453DB8">
              <w:rPr>
                <w:rFonts w:ascii="Calibri" w:eastAsia="Times New Roman" w:hAnsi="Calibri" w:cs="Calibri"/>
                <w:i/>
                <w:iCs/>
                <w:color w:val="A98C4C"/>
                <w:kern w:val="24"/>
                <w:sz w:val="18"/>
                <w:szCs w:val="18"/>
                <w:lang w:eastAsia="fr-FR"/>
              </w:rPr>
              <w:t xml:space="preserve"> </w:t>
            </w:r>
            <w:r w:rsidRPr="00453DB8">
              <w:rPr>
                <w:rFonts w:ascii="Calibri" w:eastAsia="Times New Roman" w:hAnsi="Calibri" w:cs="Calibri"/>
                <w:color w:val="000000"/>
                <w:kern w:val="24"/>
                <w:sz w:val="18"/>
                <w:szCs w:val="18"/>
                <w:lang w:eastAsia="fr-FR"/>
              </w:rPr>
              <w:t>Closed</w:t>
            </w:r>
            <w:r w:rsidRPr="00453DB8">
              <w:rPr>
                <w:rFonts w:ascii="Calibri" w:eastAsia="Times New Roman" w:hAnsi="Calibri" w:cs="Calibri"/>
                <w:i/>
                <w:iCs/>
                <w:color w:val="000000"/>
                <w:kern w:val="24"/>
                <w:sz w:val="18"/>
                <w:szCs w:val="18"/>
                <w:lang w:eastAsia="fr-FR"/>
              </w:rPr>
              <w:t>-End and self-liquidating, 15–2</w:t>
            </w:r>
            <w:r w:rsidRPr="00453DB8">
              <w:rPr>
                <w:rFonts w:ascii="Calibri" w:eastAsia="Times New Roman" w:hAnsi="Calibri" w:cs="Calibri"/>
                <w:i/>
                <w:iCs/>
                <w:color w:val="000000"/>
                <w:kern w:val="24"/>
                <w:sz w:val="18"/>
                <w:szCs w:val="18"/>
                <w:lang w:val="en-GB" w:eastAsia="fr-FR"/>
              </w:rPr>
              <w:t>0</w:t>
            </w:r>
            <w:r w:rsidRPr="00453DB8">
              <w:rPr>
                <w:rFonts w:ascii="Calibri" w:eastAsia="Times New Roman" w:hAnsi="Calibri" w:cs="Calibri"/>
                <w:i/>
                <w:iCs/>
                <w:color w:val="000000"/>
                <w:kern w:val="24"/>
                <w:sz w:val="18"/>
                <w:szCs w:val="18"/>
                <w:lang w:eastAsia="fr-FR"/>
              </w:rPr>
              <w:t>-year tenor from first closing allowing for automatic liquidity while providing patient capital</w:t>
            </w:r>
          </w:p>
        </w:tc>
      </w:tr>
      <w:tr w:rsidR="005E2DA3" w:rsidRPr="00453DB8" w14:paraId="7139C187" w14:textId="77777777">
        <w:trPr>
          <w:trHeight w:val="314"/>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6EABADEF"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Target Fund size</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4B3CA95A" w14:textId="77777777" w:rsidR="005E2DA3" w:rsidRPr="00453DB8" w:rsidRDefault="005E2DA3" w:rsidP="005E2DA3">
            <w:pPr>
              <w:pStyle w:val="ListParagraph"/>
              <w:numPr>
                <w:ilvl w:val="0"/>
                <w:numId w:val="49"/>
              </w:numPr>
              <w:spacing w:after="0" w:line="240" w:lineRule="auto"/>
              <w:ind w:left="288"/>
              <w:rPr>
                <w:rFonts w:ascii="Arial" w:eastAsia="Times New Roman" w:hAnsi="Arial" w:cs="Arial"/>
                <w:sz w:val="18"/>
                <w:szCs w:val="18"/>
                <w:lang w:eastAsia="fr-FR"/>
              </w:rPr>
            </w:pPr>
            <w:r w:rsidRPr="00453DB8">
              <w:rPr>
                <w:rFonts w:ascii="Calibri" w:eastAsia="Times New Roman" w:hAnsi="Calibri" w:cs="Calibri"/>
                <w:color w:val="000000"/>
                <w:kern w:val="24"/>
                <w:sz w:val="18"/>
                <w:szCs w:val="18"/>
                <w:lang w:eastAsia="fr-FR"/>
              </w:rPr>
              <w:t xml:space="preserve">$100 million </w:t>
            </w:r>
          </w:p>
        </w:tc>
      </w:tr>
      <w:tr w:rsidR="005E2DA3" w:rsidRPr="00837472" w14:paraId="133EF9E6" w14:textId="77777777">
        <w:trPr>
          <w:trHeight w:val="1617"/>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4FC23E18"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Investment targets</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69D507D7"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 xml:space="preserve">Phase 1 - Initial direct investments (up to 30% of the capital) </w:t>
            </w:r>
          </w:p>
          <w:p w14:paraId="2C9ABD3D" w14:textId="77777777" w:rsidR="005E2DA3" w:rsidRPr="00453DB8"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b/>
                <w:bCs/>
                <w:color w:val="000000"/>
                <w:kern w:val="24"/>
                <w:sz w:val="18"/>
                <w:szCs w:val="18"/>
                <w:lang w:eastAsia="fr-FR"/>
              </w:rPr>
              <w:t>Growth oriented and scalable</w:t>
            </w:r>
            <w:r w:rsidRPr="00453DB8">
              <w:rPr>
                <w:rFonts w:ascii="Calibri" w:eastAsia="Times New Roman" w:hAnsi="Calibri" w:cs="Calibri"/>
                <w:color w:val="000000"/>
                <w:kern w:val="24"/>
                <w:sz w:val="18"/>
                <w:szCs w:val="18"/>
                <w:lang w:eastAsia="fr-FR"/>
              </w:rPr>
              <w:t xml:space="preserve"> </w:t>
            </w:r>
            <w:r w:rsidRPr="00453DB8">
              <w:rPr>
                <w:rFonts w:ascii="Calibri" w:eastAsia="Times New Roman" w:hAnsi="Calibri" w:cs="Calibri"/>
                <w:b/>
                <w:bCs/>
                <w:color w:val="000000"/>
                <w:kern w:val="24"/>
                <w:sz w:val="18"/>
                <w:szCs w:val="18"/>
                <w:lang w:eastAsia="fr-FR"/>
              </w:rPr>
              <w:t xml:space="preserve">SMEs </w:t>
            </w:r>
            <w:r w:rsidRPr="00453DB8">
              <w:rPr>
                <w:rFonts w:ascii="Calibri" w:eastAsia="Times New Roman" w:hAnsi="Calibri" w:cs="Calibri"/>
                <w:color w:val="000000"/>
                <w:kern w:val="24"/>
                <w:sz w:val="18"/>
                <w:szCs w:val="18"/>
                <w:lang w:eastAsia="fr-FR"/>
              </w:rPr>
              <w:t xml:space="preserve">operating in Ethiopia in various sectors, with a minimum demonstrated track record. </w:t>
            </w:r>
          </w:p>
          <w:p w14:paraId="475AA9D9" w14:textId="77777777" w:rsidR="005E2DA3" w:rsidRPr="00453DB8"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 xml:space="preserve">Potentially </w:t>
            </w:r>
            <w:r w:rsidRPr="00453DB8">
              <w:rPr>
                <w:rFonts w:ascii="Calibri" w:eastAsia="Times New Roman" w:hAnsi="Calibri" w:cs="Calibri"/>
                <w:b/>
                <w:bCs/>
                <w:color w:val="000000"/>
                <w:kern w:val="24"/>
                <w:sz w:val="18"/>
                <w:szCs w:val="18"/>
                <w:lang w:eastAsia="fr-FR"/>
              </w:rPr>
              <w:t>disruptive</w:t>
            </w:r>
            <w:r w:rsidRPr="00453DB8">
              <w:rPr>
                <w:rFonts w:ascii="Calibri" w:eastAsia="Times New Roman" w:hAnsi="Calibri" w:cs="Calibri"/>
                <w:color w:val="000000"/>
                <w:kern w:val="24"/>
                <w:sz w:val="18"/>
                <w:szCs w:val="18"/>
                <w:lang w:eastAsia="fr-FR"/>
              </w:rPr>
              <w:t xml:space="preserve"> </w:t>
            </w:r>
            <w:r w:rsidRPr="00453DB8">
              <w:rPr>
                <w:rFonts w:ascii="Calibri" w:eastAsia="Times New Roman" w:hAnsi="Calibri" w:cs="Calibri"/>
                <w:b/>
                <w:bCs/>
                <w:color w:val="000000"/>
                <w:kern w:val="24"/>
                <w:sz w:val="18"/>
                <w:szCs w:val="18"/>
                <w:lang w:eastAsia="fr-FR"/>
              </w:rPr>
              <w:t>startups</w:t>
            </w:r>
            <w:r w:rsidRPr="00453DB8">
              <w:rPr>
                <w:rFonts w:ascii="Calibri" w:eastAsia="Times New Roman" w:hAnsi="Calibri" w:cs="Calibri"/>
                <w:color w:val="000000"/>
                <w:kern w:val="24"/>
                <w:sz w:val="18"/>
                <w:szCs w:val="18"/>
                <w:lang w:eastAsia="fr-FR"/>
              </w:rPr>
              <w:t xml:space="preserve"> with a minimum viable product </w:t>
            </w:r>
          </w:p>
          <w:p w14:paraId="7C32B7C1" w14:textId="77777777" w:rsidR="005E2DA3" w:rsidRPr="00453DB8"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 xml:space="preserve">Potential pool of SMEs and Startups developed by IFL Technical Assistance Facility (not exclusive) </w:t>
            </w:r>
          </w:p>
          <w:p w14:paraId="40C063B8"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 xml:space="preserve">Phase 2 – Operated as a FOF (up to 70% of the capital) </w:t>
            </w:r>
          </w:p>
          <w:p w14:paraId="2FBE6662" w14:textId="77777777" w:rsidR="005E2DA3" w:rsidRPr="0019238A"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b/>
                <w:bCs/>
                <w:color w:val="000000"/>
                <w:kern w:val="24"/>
                <w:sz w:val="18"/>
                <w:szCs w:val="18"/>
                <w:lang w:eastAsia="fr-FR"/>
              </w:rPr>
              <w:t xml:space="preserve">Investment in </w:t>
            </w:r>
          </w:p>
          <w:p w14:paraId="366A7D97" w14:textId="77777777" w:rsidR="005E2DA3" w:rsidRPr="0019238A" w:rsidRDefault="005E2DA3" w:rsidP="005E2DA3">
            <w:pPr>
              <w:pStyle w:val="ListParagraph"/>
              <w:numPr>
                <w:ilvl w:val="2"/>
                <w:numId w:val="49"/>
              </w:numPr>
              <w:spacing w:after="0" w:line="240" w:lineRule="auto"/>
              <w:rPr>
                <w:rFonts w:ascii="Calibri" w:eastAsia="Times New Roman" w:hAnsi="Calibri" w:cs="Calibri"/>
                <w:color w:val="000000"/>
                <w:kern w:val="24"/>
                <w:sz w:val="18"/>
                <w:szCs w:val="18"/>
                <w:lang w:eastAsia="fr-FR"/>
              </w:rPr>
            </w:pPr>
            <w:r w:rsidRPr="00453DB8">
              <w:rPr>
                <w:rFonts w:ascii="Calibri" w:hAnsi="Calibri" w:cs="Calibri"/>
                <w:sz w:val="18"/>
                <w:szCs w:val="18"/>
              </w:rPr>
              <w:t>Locally registered and locally based management teams.</w:t>
            </w:r>
          </w:p>
          <w:p w14:paraId="2E60E857" w14:textId="77777777" w:rsidR="005E2DA3" w:rsidRPr="0019238A" w:rsidRDefault="005E2DA3" w:rsidP="005E2DA3">
            <w:pPr>
              <w:pStyle w:val="ListParagraph"/>
              <w:numPr>
                <w:ilvl w:val="2"/>
                <w:numId w:val="49"/>
              </w:numPr>
              <w:spacing w:after="0" w:line="240" w:lineRule="auto"/>
              <w:rPr>
                <w:rFonts w:ascii="Calibri" w:eastAsia="Times New Roman" w:hAnsi="Calibri" w:cs="Calibri"/>
                <w:color w:val="000000"/>
                <w:kern w:val="24"/>
                <w:sz w:val="18"/>
                <w:szCs w:val="18"/>
                <w:lang w:eastAsia="fr-FR"/>
              </w:rPr>
            </w:pPr>
            <w:r w:rsidRPr="0019238A">
              <w:rPr>
                <w:rFonts w:ascii="Calibri" w:hAnsi="Calibri" w:cs="Calibri"/>
                <w:sz w:val="18"/>
                <w:szCs w:val="18"/>
              </w:rPr>
              <w:t>Locally based management teams</w:t>
            </w:r>
            <w:r>
              <w:rPr>
                <w:rFonts w:ascii="Calibri" w:hAnsi="Calibri" w:cs="Calibri"/>
                <w:sz w:val="18"/>
                <w:szCs w:val="18"/>
              </w:rPr>
              <w:t xml:space="preserve"> </w:t>
            </w:r>
            <w:r w:rsidRPr="00453DB8">
              <w:rPr>
                <w:rFonts w:ascii="Calibri" w:hAnsi="Calibri" w:cs="Calibri"/>
                <w:sz w:val="18"/>
                <w:szCs w:val="18"/>
              </w:rPr>
              <w:t xml:space="preserve">whose investment vehicle is registered abroad. </w:t>
            </w:r>
          </w:p>
          <w:p w14:paraId="56BE2D51" w14:textId="77777777" w:rsidR="005E2DA3" w:rsidRPr="00453DB8" w:rsidRDefault="005E2DA3" w:rsidP="005E2DA3">
            <w:pPr>
              <w:pStyle w:val="ListParagraph"/>
              <w:numPr>
                <w:ilvl w:val="2"/>
                <w:numId w:val="49"/>
              </w:numPr>
              <w:spacing w:after="0" w:line="240" w:lineRule="auto"/>
              <w:rPr>
                <w:rFonts w:ascii="Calibri" w:eastAsia="Times New Roman" w:hAnsi="Calibri" w:cs="Calibri"/>
                <w:color w:val="000000"/>
                <w:kern w:val="24"/>
                <w:sz w:val="18"/>
                <w:szCs w:val="18"/>
                <w:lang w:eastAsia="fr-FR"/>
              </w:rPr>
            </w:pPr>
            <w:r w:rsidRPr="00453DB8">
              <w:rPr>
                <w:rFonts w:ascii="Calibri" w:hAnsi="Calibri" w:cs="Calibri"/>
                <w:sz w:val="18"/>
                <w:szCs w:val="18"/>
              </w:rPr>
              <w:t>Regional players registered abroad but recognized and authorized to operate in Ethiopia.</w:t>
            </w:r>
          </w:p>
          <w:p w14:paraId="58DD62DA" w14:textId="77777777" w:rsidR="005E2DA3" w:rsidRPr="00453DB8" w:rsidRDefault="005E2DA3" w:rsidP="005E2DA3">
            <w:pPr>
              <w:pStyle w:val="ListParagraph"/>
              <w:numPr>
                <w:ilvl w:val="1"/>
                <w:numId w:val="49"/>
              </w:num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lastRenderedPageBreak/>
              <w:t>Investment funds deploying a variety of investment strategies</w:t>
            </w:r>
            <w:r w:rsidRPr="00453DB8">
              <w:rPr>
                <w:rFonts w:ascii="Calibri" w:eastAsia="Times New Roman" w:hAnsi="Calibri" w:cs="Calibri"/>
                <w:color w:val="000000"/>
                <w:kern w:val="24"/>
                <w:sz w:val="18"/>
                <w:szCs w:val="18"/>
                <w:lang w:eastAsia="fr-FR"/>
              </w:rPr>
              <w:t xml:space="preserve">, with investment ticket sizes ranging from $ 50,000 to 15m; including pre-seed, seed, Series A and venture capital. </w:t>
            </w:r>
          </w:p>
          <w:p w14:paraId="40262AA6" w14:textId="77777777" w:rsidR="005E2DA3" w:rsidRPr="00453DB8" w:rsidRDefault="005E2DA3" w:rsidP="005E2DA3">
            <w:pPr>
              <w:pStyle w:val="ListParagraph"/>
              <w:numPr>
                <w:ilvl w:val="1"/>
                <w:numId w:val="49"/>
              </w:num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Option to allow direct SME investments</w:t>
            </w:r>
            <w:r w:rsidRPr="00453DB8">
              <w:rPr>
                <w:rFonts w:ascii="Calibri" w:eastAsia="Times New Roman" w:hAnsi="Calibri" w:cs="Calibri"/>
                <w:color w:val="000000"/>
                <w:kern w:val="24"/>
                <w:sz w:val="18"/>
                <w:szCs w:val="18"/>
                <w:lang w:eastAsia="fr-FR"/>
              </w:rPr>
              <w:t xml:space="preserve">, in co-investment with the funds </w:t>
            </w:r>
          </w:p>
        </w:tc>
      </w:tr>
      <w:tr w:rsidR="005E2DA3" w:rsidRPr="00837472" w14:paraId="767CAEB4" w14:textId="77777777">
        <w:trPr>
          <w:trHeight w:val="378"/>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7205ACFE"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lastRenderedPageBreak/>
              <w:t>Investment size</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5ECA6E34" w14:textId="77777777" w:rsidR="005E2DA3" w:rsidRPr="00453DB8" w:rsidRDefault="005E2DA3" w:rsidP="005E2DA3">
            <w:pPr>
              <w:pStyle w:val="ListParagraph"/>
              <w:numPr>
                <w:ilvl w:val="0"/>
                <w:numId w:val="49"/>
              </w:numPr>
              <w:spacing w:after="0" w:line="240" w:lineRule="auto"/>
              <w:ind w:left="288"/>
              <w:rPr>
                <w:rFonts w:ascii="Arial" w:eastAsia="Times New Roman" w:hAnsi="Arial" w:cs="Arial"/>
                <w:sz w:val="18"/>
                <w:szCs w:val="18"/>
                <w:lang w:eastAsia="fr-FR"/>
              </w:rPr>
            </w:pPr>
            <w:r w:rsidRPr="00453DB8">
              <w:rPr>
                <w:rFonts w:ascii="Calibri" w:eastAsia="Times New Roman" w:hAnsi="Calibri" w:cs="Calibri"/>
                <w:color w:val="000000"/>
                <w:kern w:val="24"/>
                <w:sz w:val="18"/>
                <w:szCs w:val="18"/>
                <w:lang w:eastAsia="fr-FR"/>
              </w:rPr>
              <w:t xml:space="preserve">For direct investments in SMEs and Startups - $50 - $200K per company </w:t>
            </w:r>
          </w:p>
          <w:p w14:paraId="16F2AA51" w14:textId="77777777" w:rsidR="005E2DA3" w:rsidRPr="00453DB8" w:rsidRDefault="005E2DA3" w:rsidP="005E2DA3">
            <w:pPr>
              <w:pStyle w:val="ListParagraph"/>
              <w:numPr>
                <w:ilvl w:val="0"/>
                <w:numId w:val="49"/>
              </w:numPr>
              <w:spacing w:after="0" w:line="240" w:lineRule="auto"/>
              <w:ind w:left="288"/>
              <w:rPr>
                <w:rFonts w:ascii="Arial" w:eastAsia="Times New Roman" w:hAnsi="Arial" w:cs="Arial"/>
                <w:sz w:val="18"/>
                <w:szCs w:val="18"/>
                <w:lang w:eastAsia="fr-FR"/>
              </w:rPr>
            </w:pPr>
            <w:r w:rsidRPr="00453DB8">
              <w:rPr>
                <w:rFonts w:ascii="Calibri" w:eastAsia="Times New Roman" w:hAnsi="Calibri" w:cs="Calibri"/>
                <w:color w:val="000000"/>
                <w:kern w:val="24"/>
                <w:sz w:val="18"/>
                <w:szCs w:val="18"/>
                <w:lang w:eastAsia="fr-FR"/>
              </w:rPr>
              <w:t>For investments through the FOF operation - Investments of USD 1m to 10m in each fund, with a maximum control of 40% of any single fund</w:t>
            </w:r>
          </w:p>
        </w:tc>
      </w:tr>
      <w:tr w:rsidR="005E2DA3" w:rsidRPr="006A2474" w14:paraId="130FD4F6" w14:textId="77777777">
        <w:trPr>
          <w:trHeight w:val="309"/>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284721F5"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 xml:space="preserve">Tools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4BEE8381" w14:textId="77777777" w:rsidR="005E2DA3" w:rsidRPr="00453DB8" w:rsidRDefault="005E2DA3">
            <w:pPr>
              <w:spacing w:after="0" w:line="240" w:lineRule="auto"/>
              <w:rPr>
                <w:rFonts w:ascii="Calibri" w:eastAsia="Times New Roman" w:hAnsi="Calibri" w:cs="Calibri"/>
                <w:b/>
                <w:bCs/>
                <w:color w:val="000000"/>
                <w:kern w:val="24"/>
                <w:sz w:val="18"/>
                <w:szCs w:val="18"/>
                <w:lang w:eastAsia="fr-FR"/>
              </w:rPr>
            </w:pPr>
            <w:r w:rsidRPr="00453DB8">
              <w:rPr>
                <w:rFonts w:ascii="Calibri" w:eastAsia="Times New Roman" w:hAnsi="Calibri" w:cs="Calibri"/>
                <w:b/>
                <w:bCs/>
                <w:color w:val="000000"/>
                <w:kern w:val="24"/>
                <w:sz w:val="18"/>
                <w:szCs w:val="18"/>
                <w:lang w:eastAsia="fr-FR"/>
              </w:rPr>
              <w:t xml:space="preserve">For direct investments </w:t>
            </w:r>
          </w:p>
          <w:p w14:paraId="1837BAFE" w14:textId="77777777" w:rsidR="005E2DA3" w:rsidRPr="00453DB8"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For businesses generating immediate revenues (mainly SMEs): Equity (currently available but not always optimal)</w:t>
            </w:r>
          </w:p>
          <w:p w14:paraId="2D0D4E8F" w14:textId="77777777" w:rsidR="005E2DA3" w:rsidRPr="00F27AE0"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For businesses with a strong need of patient capital (mainly startups): SAFE &amp; Convertibles notes (implementation in progress under ECMA Directives); Equity</w:t>
            </w:r>
          </w:p>
          <w:p w14:paraId="728B84D6" w14:textId="77777777" w:rsidR="005E2DA3" w:rsidRPr="00453DB8" w:rsidRDefault="005E2DA3">
            <w:pPr>
              <w:spacing w:after="0" w:line="240" w:lineRule="auto"/>
              <w:rPr>
                <w:rFonts w:ascii="Calibri" w:eastAsia="Times New Roman" w:hAnsi="Calibri" w:cs="Calibri"/>
                <w:b/>
                <w:bCs/>
                <w:color w:val="000000"/>
                <w:kern w:val="24"/>
                <w:sz w:val="18"/>
                <w:szCs w:val="18"/>
                <w:lang w:eastAsia="fr-FR"/>
              </w:rPr>
            </w:pPr>
            <w:r w:rsidRPr="00453DB8">
              <w:rPr>
                <w:rFonts w:ascii="Calibri" w:eastAsia="Times New Roman" w:hAnsi="Calibri" w:cs="Calibri"/>
                <w:b/>
                <w:bCs/>
                <w:color w:val="000000"/>
                <w:kern w:val="24"/>
                <w:sz w:val="18"/>
                <w:szCs w:val="18"/>
                <w:lang w:eastAsia="fr-FR"/>
              </w:rPr>
              <w:t xml:space="preserve">For the FOF </w:t>
            </w:r>
          </w:p>
          <w:p w14:paraId="6D73EB1E" w14:textId="77777777" w:rsidR="005E2DA3" w:rsidRPr="00453DB8"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b/>
                <w:bCs/>
                <w:color w:val="000000"/>
                <w:kern w:val="24"/>
                <w:sz w:val="18"/>
                <w:szCs w:val="18"/>
                <w:lang w:eastAsia="fr-FR"/>
              </w:rPr>
              <w:t xml:space="preserve">Equity </w:t>
            </w:r>
            <w:r w:rsidRPr="00453DB8">
              <w:rPr>
                <w:rFonts w:ascii="Calibri" w:eastAsia="Times New Roman" w:hAnsi="Calibri" w:cs="Calibri"/>
                <w:color w:val="000000"/>
                <w:kern w:val="24"/>
                <w:sz w:val="18"/>
                <w:szCs w:val="18"/>
                <w:lang w:eastAsia="fr-FR"/>
              </w:rPr>
              <w:t xml:space="preserve">(only tool currently available on the market), including </w:t>
            </w:r>
            <w:r w:rsidRPr="00453DB8">
              <w:rPr>
                <w:rFonts w:ascii="Calibri" w:eastAsia="Times New Roman" w:hAnsi="Calibri" w:cs="Calibri"/>
                <w:b/>
                <w:bCs/>
                <w:color w:val="000000"/>
                <w:kern w:val="24"/>
                <w:sz w:val="18"/>
                <w:szCs w:val="18"/>
                <w:lang w:eastAsia="fr-FR"/>
              </w:rPr>
              <w:t>junior &amp; first-loss tranches</w:t>
            </w:r>
            <w:r w:rsidRPr="00453DB8">
              <w:rPr>
                <w:rFonts w:ascii="Calibri" w:eastAsia="Times New Roman" w:hAnsi="Calibri" w:cs="Calibri"/>
                <w:color w:val="000000"/>
                <w:kern w:val="24"/>
                <w:sz w:val="18"/>
                <w:szCs w:val="18"/>
                <w:lang w:eastAsia="fr-FR"/>
              </w:rPr>
              <w:t xml:space="preserve"> where de-risking investors is a key success factor</w:t>
            </w:r>
          </w:p>
        </w:tc>
      </w:tr>
      <w:tr w:rsidR="005E2DA3" w:rsidRPr="006A2474" w14:paraId="3E571343" w14:textId="77777777">
        <w:trPr>
          <w:trHeight w:val="417"/>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6169ACF8"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 xml:space="preserve">Investment period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2E1D8A80"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color w:val="000000"/>
                <w:kern w:val="24"/>
                <w:sz w:val="18"/>
                <w:szCs w:val="18"/>
                <w:lang w:eastAsia="fr-FR"/>
              </w:rPr>
              <w:t xml:space="preserve">5 to 6 years for the </w:t>
            </w:r>
            <w:proofErr w:type="spellStart"/>
            <w:r w:rsidRPr="00453DB8">
              <w:rPr>
                <w:rFonts w:ascii="Calibri" w:eastAsia="Times New Roman" w:hAnsi="Calibri" w:cs="Calibri"/>
                <w:color w:val="000000"/>
                <w:kern w:val="24"/>
                <w:sz w:val="18"/>
                <w:szCs w:val="18"/>
                <w:lang w:eastAsia="fr-FR"/>
              </w:rPr>
              <w:t>FoF</w:t>
            </w:r>
            <w:proofErr w:type="spellEnd"/>
            <w:r w:rsidRPr="00453DB8">
              <w:rPr>
                <w:rFonts w:ascii="Calibri" w:eastAsia="Times New Roman" w:hAnsi="Calibri" w:cs="Calibri"/>
                <w:color w:val="000000"/>
                <w:kern w:val="24"/>
                <w:sz w:val="18"/>
                <w:szCs w:val="18"/>
                <w:lang w:eastAsia="fr-FR"/>
              </w:rPr>
              <w:t xml:space="preserve"> to invest in other funds and same for direct investments, followed by an exit period (ideally with a minimum of 12 years in total, 15 years or evergreen being the optimum)</w:t>
            </w:r>
          </w:p>
        </w:tc>
      </w:tr>
      <w:tr w:rsidR="005E2DA3" w:rsidRPr="006A2474" w14:paraId="28D988D9" w14:textId="77777777">
        <w:trPr>
          <w:trHeight w:val="327"/>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2D8AC51C" w14:textId="77777777" w:rsidR="005E2DA3" w:rsidRPr="00453DB8" w:rsidRDefault="005E2DA3">
            <w:pPr>
              <w:spacing w:after="0" w:line="240" w:lineRule="auto"/>
              <w:rPr>
                <w:rFonts w:ascii="Calibri" w:eastAsia="Times New Roman" w:hAnsi="Calibri" w:cs="Calibri"/>
                <w:b/>
                <w:bCs/>
                <w:color w:val="000000"/>
                <w:kern w:val="24"/>
                <w:sz w:val="18"/>
                <w:szCs w:val="18"/>
                <w:lang w:eastAsia="fr-FR"/>
              </w:rPr>
            </w:pPr>
            <w:r w:rsidRPr="00453DB8">
              <w:rPr>
                <w:rFonts w:ascii="Calibri" w:eastAsia="Times New Roman" w:hAnsi="Calibri" w:cs="Calibri"/>
                <w:b/>
                <w:bCs/>
                <w:color w:val="000000"/>
                <w:kern w:val="24"/>
                <w:sz w:val="18"/>
                <w:szCs w:val="18"/>
                <w:lang w:eastAsia="fr-FR"/>
              </w:rPr>
              <w:t xml:space="preserve">Exit strategy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3FB89FDC" w14:textId="77777777" w:rsidR="005E2DA3" w:rsidRPr="00453DB8" w:rsidRDefault="005E2DA3">
            <w:p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Self-liquidating, capital is returned to the fund when the invested funds and companies exit from their own investments (from 5 years after the first investment).</w:t>
            </w:r>
          </w:p>
        </w:tc>
      </w:tr>
      <w:tr w:rsidR="005E2DA3" w:rsidRPr="006A2474" w14:paraId="28CB733A" w14:textId="77777777">
        <w:trPr>
          <w:trHeight w:val="628"/>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3C63C313"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 xml:space="preserve">Sectors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5A3F8C5D"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 xml:space="preserve">Sector agnostic – if companies are scalable SMEs (growth oriented) and disruptive startups. </w:t>
            </w:r>
          </w:p>
          <w:p w14:paraId="52F8AB2B"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 xml:space="preserve">Investment Funds operating in priority sectors: </w:t>
            </w:r>
            <w:proofErr w:type="spellStart"/>
            <w:r w:rsidRPr="00453DB8">
              <w:rPr>
                <w:rFonts w:ascii="Calibri" w:eastAsia="Times New Roman" w:hAnsi="Calibri" w:cs="Calibri"/>
                <w:color w:val="000000"/>
                <w:kern w:val="24"/>
                <w:sz w:val="18"/>
                <w:szCs w:val="18"/>
                <w:lang w:eastAsia="fr-FR"/>
              </w:rPr>
              <w:t>agri</w:t>
            </w:r>
            <w:proofErr w:type="spellEnd"/>
            <w:r w:rsidRPr="00453DB8">
              <w:rPr>
                <w:rFonts w:ascii="Calibri" w:eastAsia="Times New Roman" w:hAnsi="Calibri" w:cs="Calibri"/>
                <w:color w:val="000000"/>
                <w:kern w:val="24"/>
                <w:sz w:val="18"/>
                <w:szCs w:val="18"/>
                <w:lang w:eastAsia="fr-FR"/>
              </w:rPr>
              <w:t>, manufacturing &amp; services, align with the strategic pillars of Ethiopia’s 10-year Plan and the Homegrown Economic Reform Agenda</w:t>
            </w:r>
          </w:p>
        </w:tc>
      </w:tr>
      <w:tr w:rsidR="005E2DA3" w:rsidRPr="006A2474" w14:paraId="67A45B3D" w14:textId="77777777">
        <w:trPr>
          <w:trHeight w:val="628"/>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20105369"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Target # of Investments</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2D5CA6BB"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 xml:space="preserve">For direct investments </w:t>
            </w:r>
          </w:p>
          <w:p w14:paraId="567527A1" w14:textId="77777777" w:rsidR="005E2DA3" w:rsidRPr="00453DB8"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Pr>
                <w:rFonts w:ascii="Calibri" w:eastAsia="Times New Roman" w:hAnsi="Calibri" w:cs="Calibri"/>
                <w:color w:val="000000"/>
                <w:kern w:val="24"/>
                <w:sz w:val="18"/>
                <w:szCs w:val="18"/>
                <w:lang w:eastAsia="fr-FR"/>
              </w:rPr>
              <w:t>50</w:t>
            </w:r>
            <w:r w:rsidRPr="00453DB8">
              <w:rPr>
                <w:rFonts w:ascii="Calibri" w:eastAsia="Times New Roman" w:hAnsi="Calibri" w:cs="Calibri"/>
                <w:color w:val="000000"/>
                <w:kern w:val="24"/>
                <w:sz w:val="18"/>
                <w:szCs w:val="18"/>
                <w:lang w:eastAsia="fr-FR"/>
              </w:rPr>
              <w:t xml:space="preserve"> -10</w:t>
            </w:r>
            <w:r>
              <w:rPr>
                <w:rFonts w:ascii="Calibri" w:eastAsia="Times New Roman" w:hAnsi="Calibri" w:cs="Calibri"/>
                <w:color w:val="000000"/>
                <w:kern w:val="24"/>
                <w:sz w:val="18"/>
                <w:szCs w:val="18"/>
                <w:lang w:eastAsia="fr-FR"/>
              </w:rPr>
              <w:t>0</w:t>
            </w:r>
            <w:r w:rsidRPr="00453DB8">
              <w:rPr>
                <w:rFonts w:ascii="Calibri" w:eastAsia="Times New Roman" w:hAnsi="Calibri" w:cs="Calibri"/>
                <w:color w:val="000000"/>
                <w:kern w:val="24"/>
                <w:sz w:val="18"/>
                <w:szCs w:val="18"/>
                <w:lang w:eastAsia="fr-FR"/>
              </w:rPr>
              <w:t xml:space="preserve"> companies financed over 5 years. </w:t>
            </w:r>
          </w:p>
          <w:p w14:paraId="677E2134"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 xml:space="preserve">For FOF operation </w:t>
            </w:r>
          </w:p>
          <w:p w14:paraId="6CCCC04C" w14:textId="77777777" w:rsidR="005E2DA3" w:rsidRPr="00453DB8"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4-6 fund investments (pilot) to 10-12 fund investments (full scale)</w:t>
            </w:r>
          </w:p>
          <w:p w14:paraId="05FA1FD8" w14:textId="77777777" w:rsidR="005E2DA3" w:rsidRPr="00453DB8" w:rsidRDefault="005E2DA3" w:rsidP="005E2DA3">
            <w:pPr>
              <w:pStyle w:val="ListParagraph"/>
              <w:numPr>
                <w:ilvl w:val="1"/>
                <w:numId w:val="49"/>
              </w:numPr>
              <w:spacing w:after="0" w:line="240" w:lineRule="auto"/>
              <w:rPr>
                <w:rFonts w:ascii="Arial" w:eastAsia="Times New Roman" w:hAnsi="Arial" w:cs="Arial"/>
                <w:sz w:val="18"/>
                <w:szCs w:val="18"/>
                <w:lang w:eastAsia="fr-FR"/>
              </w:rPr>
            </w:pPr>
            <w:r w:rsidRPr="00453DB8">
              <w:rPr>
                <w:rFonts w:ascii="Calibri" w:eastAsia="Times New Roman" w:hAnsi="Calibri" w:cs="Calibri"/>
                <w:color w:val="000000"/>
                <w:kern w:val="24"/>
                <w:sz w:val="18"/>
                <w:szCs w:val="18"/>
                <w:lang w:eastAsia="fr-FR"/>
              </w:rPr>
              <w:t xml:space="preserve">Leading to 30-150 SMEs financed over 10 years </w:t>
            </w:r>
          </w:p>
        </w:tc>
      </w:tr>
      <w:tr w:rsidR="005E2DA3" w:rsidRPr="006A2474" w14:paraId="6EEA452F" w14:textId="77777777">
        <w:trPr>
          <w:trHeight w:val="960"/>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274D0EB9" w14:textId="77777777" w:rsidR="005E2DA3" w:rsidRPr="00453DB8" w:rsidRDefault="005E2DA3">
            <w:pPr>
              <w:spacing w:after="0" w:line="240" w:lineRule="auto"/>
              <w:rPr>
                <w:rFonts w:ascii="Arial" w:eastAsia="Times New Roman" w:hAnsi="Arial" w:cs="Arial"/>
                <w:sz w:val="18"/>
                <w:szCs w:val="18"/>
                <w:lang w:eastAsia="fr-FR"/>
              </w:rPr>
            </w:pPr>
            <w:r w:rsidRPr="00453DB8">
              <w:rPr>
                <w:rFonts w:ascii="Calibri" w:eastAsia="Times New Roman" w:hAnsi="Calibri" w:cs="Calibri"/>
                <w:b/>
                <w:bCs/>
                <w:color w:val="000000"/>
                <w:kern w:val="24"/>
                <w:sz w:val="18"/>
                <w:szCs w:val="18"/>
                <w:lang w:eastAsia="fr-FR"/>
              </w:rPr>
              <w:t xml:space="preserve">Capitalization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hideMark/>
          </w:tcPr>
          <w:p w14:paraId="523AA7B2"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453DB8">
              <w:rPr>
                <w:rFonts w:ascii="Calibri" w:eastAsia="Times New Roman" w:hAnsi="Calibri" w:cs="Calibri"/>
                <w:b/>
                <w:bCs/>
                <w:color w:val="000000"/>
                <w:kern w:val="24"/>
                <w:sz w:val="18"/>
                <w:szCs w:val="18"/>
                <w:lang w:eastAsia="fr-FR"/>
              </w:rPr>
              <w:t>EFF vehicle:</w:t>
            </w:r>
            <w:r w:rsidRPr="00453DB8">
              <w:rPr>
                <w:rFonts w:ascii="Calibri" w:eastAsia="Times New Roman" w:hAnsi="Calibri" w:cs="Calibri"/>
                <w:color w:val="000000"/>
                <w:kern w:val="24"/>
                <w:sz w:val="18"/>
                <w:szCs w:val="18"/>
                <w:lang w:eastAsia="fr-FR"/>
              </w:rPr>
              <w:t xml:space="preserve"> </w:t>
            </w:r>
            <w:r w:rsidRPr="00453DB8">
              <w:rPr>
                <w:rFonts w:ascii="Calibri" w:eastAsia="Times New Roman" w:hAnsi="Calibri" w:cs="Calibri"/>
                <w:i/>
                <w:iCs/>
                <w:color w:val="A98C4C"/>
                <w:kern w:val="24"/>
                <w:sz w:val="18"/>
                <w:szCs w:val="18"/>
                <w:lang w:eastAsia="fr-FR"/>
              </w:rPr>
              <w:t xml:space="preserve">Anchor investor + additional contributors to be identified by the fund manager </w:t>
            </w:r>
          </w:p>
          <w:p w14:paraId="2F40455C" w14:textId="77777777" w:rsidR="005E2DA3" w:rsidRPr="00453DB8"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Potential platform for donor, DFI and public (</w:t>
            </w:r>
            <w:r>
              <w:rPr>
                <w:rFonts w:ascii="Calibri" w:eastAsia="Times New Roman" w:hAnsi="Calibri" w:cs="Calibri"/>
                <w:color w:val="000000"/>
                <w:kern w:val="24"/>
                <w:sz w:val="18"/>
                <w:szCs w:val="18"/>
                <w:lang w:eastAsia="fr-FR"/>
              </w:rPr>
              <w:t xml:space="preserve">government </w:t>
            </w:r>
            <w:r w:rsidRPr="00453DB8">
              <w:rPr>
                <w:rFonts w:ascii="Calibri" w:eastAsia="Times New Roman" w:hAnsi="Calibri" w:cs="Calibri"/>
                <w:color w:val="000000"/>
                <w:kern w:val="24"/>
                <w:sz w:val="18"/>
                <w:szCs w:val="18"/>
                <w:lang w:eastAsia="fr-FR"/>
              </w:rPr>
              <w:t xml:space="preserve">sovereign fund, pension, and insurance funds) can potentially deploy funding based on various risk return profiles. </w:t>
            </w:r>
          </w:p>
          <w:p w14:paraId="4FB1B143" w14:textId="77777777" w:rsidR="005E2DA3" w:rsidRPr="00453DB8" w:rsidRDefault="005E2DA3" w:rsidP="005E2DA3">
            <w:pPr>
              <w:pStyle w:val="ListParagraph"/>
              <w:numPr>
                <w:ilvl w:val="0"/>
                <w:numId w:val="49"/>
              </w:numPr>
              <w:spacing w:after="0" w:line="240" w:lineRule="auto"/>
              <w:ind w:left="288"/>
              <w:rPr>
                <w:rFonts w:ascii="Arial" w:eastAsia="Times New Roman" w:hAnsi="Arial" w:cs="Arial"/>
                <w:sz w:val="18"/>
                <w:szCs w:val="18"/>
                <w:lang w:eastAsia="fr-FR"/>
              </w:rPr>
            </w:pPr>
            <w:r w:rsidRPr="00453DB8">
              <w:rPr>
                <w:rFonts w:ascii="Calibri" w:eastAsia="Times New Roman" w:hAnsi="Calibri" w:cs="Calibri"/>
                <w:color w:val="000000"/>
                <w:kern w:val="24"/>
                <w:sz w:val="18"/>
                <w:szCs w:val="18"/>
                <w:lang w:eastAsia="fr-FR"/>
              </w:rPr>
              <w:t xml:space="preserve">Fund manager with the support from </w:t>
            </w:r>
            <w:r>
              <w:rPr>
                <w:rFonts w:ascii="Calibri" w:eastAsia="Times New Roman" w:hAnsi="Calibri" w:cs="Calibri"/>
                <w:color w:val="000000"/>
                <w:kern w:val="24"/>
                <w:sz w:val="18"/>
                <w:szCs w:val="18"/>
                <w:lang w:eastAsia="fr-FR"/>
              </w:rPr>
              <w:t>I</w:t>
            </w:r>
            <w:r w:rsidRPr="00453DB8">
              <w:rPr>
                <w:rFonts w:ascii="Calibri" w:eastAsia="Times New Roman" w:hAnsi="Calibri" w:cs="Calibri"/>
                <w:color w:val="000000"/>
                <w:kern w:val="24"/>
                <w:sz w:val="18"/>
                <w:szCs w:val="18"/>
                <w:lang w:eastAsia="fr-FR"/>
              </w:rPr>
              <w:t xml:space="preserve">FL will perform </w:t>
            </w:r>
            <w:r w:rsidRPr="00453DB8">
              <w:rPr>
                <w:rFonts w:ascii="Calibri" w:eastAsia="Times New Roman" w:hAnsi="Calibri" w:cs="Calibri"/>
                <w:b/>
                <w:bCs/>
                <w:color w:val="000000"/>
                <w:kern w:val="24"/>
                <w:sz w:val="18"/>
                <w:szCs w:val="18"/>
                <w:lang w:eastAsia="fr-FR"/>
              </w:rPr>
              <w:t>fundraising and capitalization</w:t>
            </w:r>
            <w:r w:rsidRPr="00453DB8">
              <w:rPr>
                <w:rFonts w:ascii="Calibri" w:eastAsia="Times New Roman" w:hAnsi="Calibri" w:cs="Calibri"/>
                <w:color w:val="000000"/>
                <w:kern w:val="24"/>
                <w:sz w:val="18"/>
                <w:szCs w:val="18"/>
                <w:lang w:eastAsia="fr-FR"/>
              </w:rPr>
              <w:t xml:space="preserve"> of the fund and all market-based expenses of the </w:t>
            </w:r>
            <w:r w:rsidRPr="00453DB8">
              <w:rPr>
                <w:rFonts w:ascii="Calibri" w:eastAsia="Times New Roman" w:hAnsi="Calibri" w:cs="Calibri"/>
                <w:b/>
                <w:bCs/>
                <w:color w:val="000000"/>
                <w:kern w:val="24"/>
                <w:sz w:val="18"/>
                <w:szCs w:val="18"/>
                <w:lang w:eastAsia="fr-FR"/>
              </w:rPr>
              <w:t>fundraising expenses</w:t>
            </w:r>
            <w:r w:rsidRPr="00453DB8">
              <w:rPr>
                <w:rFonts w:ascii="Calibri" w:eastAsia="Times New Roman" w:hAnsi="Calibri" w:cs="Calibri"/>
                <w:color w:val="000000"/>
                <w:kern w:val="24"/>
                <w:sz w:val="18"/>
                <w:szCs w:val="18"/>
                <w:lang w:eastAsia="fr-FR"/>
              </w:rPr>
              <w:t xml:space="preserve"> will be </w:t>
            </w:r>
            <w:r w:rsidRPr="00683524">
              <w:rPr>
                <w:rFonts w:ascii="Calibri" w:eastAsia="Times New Roman" w:hAnsi="Calibri" w:cs="Calibri"/>
                <w:color w:val="000000"/>
                <w:kern w:val="24"/>
                <w:sz w:val="18"/>
                <w:szCs w:val="18"/>
                <w:lang w:eastAsia="fr-FR"/>
              </w:rPr>
              <w:t xml:space="preserve">reimbursed by </w:t>
            </w:r>
            <w:r>
              <w:rPr>
                <w:rFonts w:ascii="Calibri" w:eastAsia="Times New Roman" w:hAnsi="Calibri" w:cs="Calibri"/>
                <w:color w:val="000000"/>
                <w:kern w:val="24"/>
                <w:sz w:val="18"/>
                <w:szCs w:val="18"/>
                <w:lang w:eastAsia="fr-FR"/>
              </w:rPr>
              <w:t xml:space="preserve">the fund </w:t>
            </w:r>
            <w:r w:rsidRPr="00453DB8">
              <w:rPr>
                <w:rFonts w:ascii="Calibri" w:eastAsia="Times New Roman" w:hAnsi="Calibri" w:cs="Calibri"/>
                <w:color w:val="000000"/>
                <w:kern w:val="24"/>
                <w:sz w:val="18"/>
                <w:szCs w:val="18"/>
                <w:lang w:eastAsia="fr-FR"/>
              </w:rPr>
              <w:t xml:space="preserve">to the fund manager </w:t>
            </w:r>
          </w:p>
        </w:tc>
      </w:tr>
      <w:tr w:rsidR="005E2DA3" w:rsidRPr="006A2474" w14:paraId="3F13058E" w14:textId="77777777">
        <w:trPr>
          <w:trHeight w:val="960"/>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2C6D00DB" w14:textId="77777777" w:rsidR="005E2DA3" w:rsidRPr="00453DB8" w:rsidRDefault="005E2DA3">
            <w:pPr>
              <w:spacing w:after="0" w:line="240" w:lineRule="auto"/>
              <w:rPr>
                <w:rFonts w:ascii="Calibri" w:eastAsia="Times New Roman" w:hAnsi="Calibri" w:cs="Calibri"/>
                <w:b/>
                <w:bCs/>
                <w:color w:val="000000"/>
                <w:kern w:val="24"/>
                <w:sz w:val="18"/>
                <w:szCs w:val="18"/>
                <w:lang w:eastAsia="fr-FR"/>
              </w:rPr>
            </w:pPr>
            <w:r w:rsidRPr="00453DB8">
              <w:rPr>
                <w:rFonts w:ascii="Calibri" w:eastAsia="Times New Roman" w:hAnsi="Calibri" w:cs="Calibri"/>
                <w:b/>
                <w:bCs/>
                <w:color w:val="000000"/>
                <w:kern w:val="24"/>
                <w:sz w:val="18"/>
                <w:szCs w:val="18"/>
                <w:lang w:eastAsia="fr-FR"/>
              </w:rPr>
              <w:lastRenderedPageBreak/>
              <w:t xml:space="preserve">Technical Assistance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6CC690DF" w14:textId="77777777" w:rsidR="005E2DA3" w:rsidRPr="008C1AD3"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8C1AD3">
              <w:rPr>
                <w:rFonts w:ascii="Calibri" w:eastAsia="Times New Roman" w:hAnsi="Calibri" w:cs="Calibri"/>
                <w:color w:val="000000"/>
                <w:kern w:val="24"/>
                <w:sz w:val="18"/>
                <w:szCs w:val="18"/>
                <w:lang w:eastAsia="fr-FR"/>
              </w:rPr>
              <w:t xml:space="preserve">IFL will provide through a contractual agreement with </w:t>
            </w:r>
            <w:r>
              <w:rPr>
                <w:rFonts w:ascii="Calibri" w:eastAsia="Times New Roman" w:hAnsi="Calibri" w:cs="Calibri"/>
                <w:color w:val="000000"/>
                <w:kern w:val="24"/>
                <w:sz w:val="18"/>
                <w:szCs w:val="18"/>
                <w:lang w:eastAsia="fr-FR"/>
              </w:rPr>
              <w:t>the fund:</w:t>
            </w:r>
            <w:r w:rsidRPr="008C1AD3">
              <w:rPr>
                <w:rFonts w:ascii="Calibri" w:eastAsia="Times New Roman" w:hAnsi="Calibri" w:cs="Calibri"/>
                <w:color w:val="000000"/>
                <w:kern w:val="24"/>
                <w:sz w:val="18"/>
                <w:szCs w:val="18"/>
                <w:lang w:eastAsia="fr-FR"/>
              </w:rPr>
              <w:t xml:space="preserve"> </w:t>
            </w:r>
          </w:p>
          <w:p w14:paraId="18B0A783" w14:textId="77777777" w:rsidR="005E2DA3" w:rsidRPr="008C1AD3"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8C1AD3">
              <w:rPr>
                <w:rFonts w:ascii="Calibri" w:eastAsia="Times New Roman" w:hAnsi="Calibri" w:cs="Calibri"/>
                <w:color w:val="000000"/>
                <w:kern w:val="24"/>
                <w:sz w:val="18"/>
                <w:szCs w:val="18"/>
                <w:lang w:eastAsia="fr-FR"/>
              </w:rPr>
              <w:t xml:space="preserve">the investment readiness technical assistance support to develop pipeline, </w:t>
            </w:r>
          </w:p>
          <w:p w14:paraId="4C1700AA" w14:textId="77777777" w:rsidR="005E2DA3" w:rsidRPr="008C1AD3"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8C1AD3">
              <w:rPr>
                <w:rFonts w:ascii="Calibri" w:eastAsia="Times New Roman" w:hAnsi="Calibri" w:cs="Calibri"/>
                <w:color w:val="000000"/>
                <w:kern w:val="24"/>
                <w:sz w:val="18"/>
                <w:szCs w:val="18"/>
                <w:lang w:eastAsia="fr-FR"/>
              </w:rPr>
              <w:t xml:space="preserve">provide portfolio management support as a post investment technical assistance </w:t>
            </w:r>
            <w:r>
              <w:rPr>
                <w:rFonts w:ascii="Calibri" w:eastAsia="Times New Roman" w:hAnsi="Calibri" w:cs="Calibri"/>
                <w:color w:val="000000"/>
                <w:kern w:val="24"/>
                <w:sz w:val="18"/>
                <w:szCs w:val="18"/>
                <w:lang w:eastAsia="fr-FR"/>
              </w:rPr>
              <w:t>and</w:t>
            </w:r>
          </w:p>
          <w:p w14:paraId="29815CD1" w14:textId="77777777" w:rsidR="005E2DA3" w:rsidRPr="008C1AD3" w:rsidRDefault="005E2DA3" w:rsidP="005E2DA3">
            <w:pPr>
              <w:pStyle w:val="ListParagraph"/>
              <w:numPr>
                <w:ilvl w:val="1"/>
                <w:numId w:val="49"/>
              </w:numPr>
              <w:spacing w:after="0" w:line="240" w:lineRule="auto"/>
              <w:rPr>
                <w:rFonts w:ascii="Calibri" w:eastAsia="Times New Roman" w:hAnsi="Calibri" w:cs="Calibri"/>
                <w:color w:val="000000"/>
                <w:kern w:val="24"/>
                <w:sz w:val="18"/>
                <w:szCs w:val="18"/>
                <w:lang w:eastAsia="fr-FR"/>
              </w:rPr>
            </w:pPr>
            <w:r w:rsidRPr="008C1AD3">
              <w:rPr>
                <w:rFonts w:ascii="Calibri" w:eastAsia="Times New Roman" w:hAnsi="Calibri" w:cs="Calibri"/>
                <w:color w:val="000000"/>
                <w:kern w:val="24"/>
                <w:sz w:val="18"/>
                <w:szCs w:val="18"/>
                <w:lang w:eastAsia="fr-FR"/>
              </w:rPr>
              <w:t xml:space="preserve">provide technical assistance for new and existing fund managers pipeline of the FOF. </w:t>
            </w:r>
          </w:p>
          <w:p w14:paraId="62D27658"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sidRPr="00453DB8">
              <w:rPr>
                <w:rFonts w:ascii="Calibri" w:eastAsia="Times New Roman" w:hAnsi="Calibri" w:cs="Calibri"/>
                <w:color w:val="000000"/>
                <w:kern w:val="24"/>
                <w:sz w:val="18"/>
                <w:szCs w:val="18"/>
                <w:lang w:eastAsia="fr-FR"/>
              </w:rPr>
              <w:t xml:space="preserve">IFL’s technical assistance and risk observation support will be donor funded </w:t>
            </w:r>
          </w:p>
        </w:tc>
      </w:tr>
      <w:tr w:rsidR="005E2DA3" w:rsidRPr="006A2474" w14:paraId="379ADB24" w14:textId="77777777">
        <w:trPr>
          <w:trHeight w:val="445"/>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57C8EE87" w14:textId="77777777" w:rsidR="005E2DA3" w:rsidRPr="00453DB8" w:rsidRDefault="005E2DA3">
            <w:pPr>
              <w:spacing w:after="0" w:line="240" w:lineRule="auto"/>
              <w:rPr>
                <w:rFonts w:ascii="Calibri" w:eastAsia="Times New Roman" w:hAnsi="Calibri" w:cs="Calibri"/>
                <w:b/>
                <w:bCs/>
                <w:color w:val="000000"/>
                <w:kern w:val="24"/>
                <w:sz w:val="18"/>
                <w:szCs w:val="18"/>
                <w:lang w:eastAsia="fr-FR"/>
              </w:rPr>
            </w:pPr>
            <w:r w:rsidRPr="00453DB8">
              <w:rPr>
                <w:rFonts w:ascii="Calibri" w:eastAsia="Times New Roman" w:hAnsi="Calibri" w:cs="Calibri"/>
                <w:b/>
                <w:bCs/>
                <w:color w:val="000000"/>
                <w:kern w:val="24"/>
                <w:sz w:val="18"/>
                <w:szCs w:val="18"/>
                <w:lang w:eastAsia="fr-FR"/>
              </w:rPr>
              <w:t xml:space="preserve">Management fee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527397FE"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Pr>
                <w:rFonts w:ascii="Calibri" w:eastAsia="Times New Roman" w:hAnsi="Calibri" w:cs="Calibri"/>
                <w:color w:val="000000"/>
                <w:kern w:val="24"/>
                <w:sz w:val="18"/>
                <w:szCs w:val="18"/>
                <w:lang w:eastAsia="fr-FR"/>
              </w:rPr>
              <w:t>The fund</w:t>
            </w:r>
            <w:r w:rsidRPr="00453DB8">
              <w:rPr>
                <w:rFonts w:ascii="Calibri" w:eastAsia="Times New Roman" w:hAnsi="Calibri" w:cs="Calibri"/>
                <w:color w:val="000000"/>
                <w:kern w:val="24"/>
                <w:sz w:val="18"/>
                <w:szCs w:val="18"/>
                <w:lang w:eastAsia="fr-FR"/>
              </w:rPr>
              <w:t xml:space="preserve"> will provide a </w:t>
            </w:r>
            <w:r w:rsidRPr="008C1AD3">
              <w:rPr>
                <w:rFonts w:ascii="Calibri" w:eastAsia="Times New Roman" w:hAnsi="Calibri" w:cs="Calibri"/>
                <w:color w:val="000000"/>
                <w:kern w:val="24"/>
                <w:sz w:val="18"/>
                <w:szCs w:val="18"/>
                <w:lang w:eastAsia="fr-FR"/>
              </w:rPr>
              <w:t>market-based management fee payment to the fund manager</w:t>
            </w:r>
            <w:r w:rsidRPr="00453DB8">
              <w:rPr>
                <w:rFonts w:ascii="Calibri" w:eastAsia="Times New Roman" w:hAnsi="Calibri" w:cs="Calibri"/>
                <w:color w:val="000000"/>
                <w:kern w:val="24"/>
                <w:sz w:val="18"/>
                <w:szCs w:val="18"/>
                <w:lang w:eastAsia="fr-FR"/>
              </w:rPr>
              <w:t xml:space="preserve"> based on the competitive offer of the fund manager </w:t>
            </w:r>
          </w:p>
        </w:tc>
      </w:tr>
      <w:tr w:rsidR="005E2DA3" w:rsidRPr="006A2474" w14:paraId="72BCD8C7" w14:textId="77777777">
        <w:trPr>
          <w:trHeight w:val="472"/>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4AD5D52F" w14:textId="77777777" w:rsidR="005E2DA3" w:rsidRPr="00453DB8" w:rsidRDefault="005E2DA3">
            <w:pPr>
              <w:spacing w:after="0" w:line="240" w:lineRule="auto"/>
              <w:rPr>
                <w:rFonts w:ascii="Calibri" w:eastAsia="Times New Roman" w:hAnsi="Calibri" w:cs="Calibri"/>
                <w:b/>
                <w:bCs/>
                <w:color w:val="000000"/>
                <w:kern w:val="24"/>
                <w:sz w:val="18"/>
                <w:szCs w:val="18"/>
                <w:lang w:eastAsia="fr-FR"/>
              </w:rPr>
            </w:pPr>
            <w:r w:rsidRPr="00453DB8">
              <w:rPr>
                <w:rFonts w:ascii="Calibri" w:eastAsia="Times New Roman" w:hAnsi="Calibri" w:cs="Calibri"/>
                <w:b/>
                <w:bCs/>
                <w:color w:val="000000"/>
                <w:kern w:val="24"/>
                <w:sz w:val="18"/>
                <w:szCs w:val="18"/>
                <w:lang w:eastAsia="fr-FR"/>
              </w:rPr>
              <w:t xml:space="preserve">Carried interest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08605581" w14:textId="77777777" w:rsidR="005E2DA3" w:rsidRPr="00453DB8"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Pr>
                <w:rFonts w:ascii="Calibri" w:eastAsia="Times New Roman" w:hAnsi="Calibri" w:cs="Calibri"/>
                <w:color w:val="000000"/>
                <w:kern w:val="24"/>
                <w:sz w:val="18"/>
                <w:szCs w:val="18"/>
                <w:lang w:eastAsia="fr-FR"/>
              </w:rPr>
              <w:t>The fund</w:t>
            </w:r>
            <w:r w:rsidRPr="00453DB8">
              <w:rPr>
                <w:rFonts w:ascii="Calibri" w:eastAsia="Times New Roman" w:hAnsi="Calibri" w:cs="Calibri"/>
                <w:color w:val="000000"/>
                <w:kern w:val="24"/>
                <w:sz w:val="18"/>
                <w:szCs w:val="18"/>
                <w:lang w:eastAsia="fr-FR"/>
              </w:rPr>
              <w:t xml:space="preserve"> will provide a performance based carried interest where the percentage and hurdle rate are to be determined based on the competitive offer of the fund manager </w:t>
            </w:r>
          </w:p>
        </w:tc>
      </w:tr>
      <w:tr w:rsidR="005E2DA3" w:rsidRPr="006A2474" w14:paraId="3800655C" w14:textId="77777777">
        <w:trPr>
          <w:trHeight w:val="373"/>
        </w:trPr>
        <w:tc>
          <w:tcPr>
            <w:tcW w:w="1494"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51D53CDC" w14:textId="77777777" w:rsidR="005E2DA3" w:rsidRPr="00453DB8" w:rsidRDefault="005E2DA3">
            <w:pPr>
              <w:spacing w:after="0" w:line="240" w:lineRule="auto"/>
              <w:rPr>
                <w:rFonts w:ascii="Calibri" w:eastAsia="Times New Roman" w:hAnsi="Calibri" w:cs="Calibri"/>
                <w:b/>
                <w:bCs/>
                <w:color w:val="000000"/>
                <w:kern w:val="24"/>
                <w:sz w:val="18"/>
                <w:szCs w:val="18"/>
                <w:lang w:eastAsia="fr-FR"/>
              </w:rPr>
            </w:pPr>
            <w:r>
              <w:rPr>
                <w:rFonts w:ascii="Calibri" w:eastAsia="Times New Roman" w:hAnsi="Calibri" w:cs="Calibri"/>
                <w:b/>
                <w:bCs/>
                <w:color w:val="000000"/>
                <w:kern w:val="24"/>
                <w:sz w:val="18"/>
                <w:szCs w:val="18"/>
                <w:lang w:eastAsia="fr-FR"/>
              </w:rPr>
              <w:t xml:space="preserve">Governance </w:t>
            </w:r>
          </w:p>
        </w:tc>
        <w:tc>
          <w:tcPr>
            <w:tcW w:w="11070" w:type="dxa"/>
            <w:tcBorders>
              <w:top w:val="single" w:sz="2" w:space="0" w:color="E7E6E6" w:themeColor="background2"/>
              <w:left w:val="single" w:sz="8" w:space="0" w:color="FFFFFF" w:themeColor="background1"/>
              <w:bottom w:val="single" w:sz="2" w:space="0" w:color="E7E6E6" w:themeColor="background2"/>
              <w:right w:val="single" w:sz="8" w:space="0" w:color="FFFFFF" w:themeColor="background1"/>
            </w:tcBorders>
            <w:shd w:val="clear" w:color="auto" w:fill="FFFFFF" w:themeFill="background1"/>
            <w:tcMar>
              <w:top w:w="72" w:type="dxa"/>
              <w:left w:w="144" w:type="dxa"/>
              <w:bottom w:w="72" w:type="dxa"/>
              <w:right w:w="144" w:type="dxa"/>
            </w:tcMar>
          </w:tcPr>
          <w:p w14:paraId="7C8C936B" w14:textId="77777777" w:rsidR="005E2DA3" w:rsidRDefault="005E2DA3" w:rsidP="005E2DA3">
            <w:pPr>
              <w:pStyle w:val="ListParagraph"/>
              <w:numPr>
                <w:ilvl w:val="0"/>
                <w:numId w:val="49"/>
              </w:numPr>
              <w:spacing w:after="0" w:line="240" w:lineRule="auto"/>
              <w:ind w:left="288"/>
              <w:rPr>
                <w:rFonts w:ascii="Calibri" w:eastAsia="Times New Roman" w:hAnsi="Calibri" w:cs="Calibri"/>
                <w:color w:val="000000"/>
                <w:kern w:val="24"/>
                <w:sz w:val="18"/>
                <w:szCs w:val="18"/>
                <w:lang w:eastAsia="fr-FR"/>
              </w:rPr>
            </w:pPr>
            <w:r>
              <w:rPr>
                <w:rFonts w:ascii="Calibri" w:eastAsia="Times New Roman" w:hAnsi="Calibri" w:cs="Calibri"/>
                <w:color w:val="000000"/>
                <w:kern w:val="24"/>
                <w:sz w:val="18"/>
                <w:szCs w:val="18"/>
                <w:lang w:eastAsia="fr-FR"/>
              </w:rPr>
              <w:t xml:space="preserve">The fund will be governed by a board for strategic direction and technical decisions will be made by an investment committee </w:t>
            </w:r>
          </w:p>
        </w:tc>
      </w:tr>
    </w:tbl>
    <w:p w14:paraId="023D4D12" w14:textId="77777777" w:rsidR="005E2DA3" w:rsidRPr="006A2474" w:rsidRDefault="005E2DA3" w:rsidP="005E2DA3"/>
    <w:p w14:paraId="5343B525" w14:textId="74B9F98A" w:rsidR="005D564D" w:rsidRPr="00C63FD6" w:rsidRDefault="005D564D" w:rsidP="005D564D">
      <w:pPr>
        <w:tabs>
          <w:tab w:val="center" w:pos="4680"/>
        </w:tabs>
        <w:jc w:val="both"/>
        <w:rPr>
          <w:rFonts w:ascii="Calibri" w:hAnsi="Calibri" w:cs="Calibri"/>
        </w:rPr>
      </w:pPr>
      <w:r w:rsidRPr="00C63FD6">
        <w:rPr>
          <w:rFonts w:ascii="Calibri" w:hAnsi="Calibri" w:cs="Calibri"/>
        </w:rPr>
        <w:t xml:space="preserve"> </w:t>
      </w:r>
    </w:p>
    <w:p w14:paraId="516896E9" w14:textId="77777777" w:rsidR="00C63FD6" w:rsidRDefault="00C63FD6" w:rsidP="28FAE5F3">
      <w:pPr>
        <w:tabs>
          <w:tab w:val="center" w:pos="4680"/>
        </w:tabs>
        <w:jc w:val="both"/>
      </w:pPr>
    </w:p>
    <w:p w14:paraId="1EBAFD3B" w14:textId="77777777" w:rsidR="00C63FD6" w:rsidRDefault="00C63FD6" w:rsidP="28FAE5F3">
      <w:pPr>
        <w:tabs>
          <w:tab w:val="center" w:pos="4680"/>
        </w:tabs>
        <w:jc w:val="both"/>
      </w:pPr>
    </w:p>
    <w:p w14:paraId="1599DD80" w14:textId="77777777" w:rsidR="00C63FD6" w:rsidRDefault="00C63FD6" w:rsidP="28FAE5F3">
      <w:pPr>
        <w:tabs>
          <w:tab w:val="center" w:pos="4680"/>
        </w:tabs>
        <w:jc w:val="both"/>
      </w:pPr>
    </w:p>
    <w:p w14:paraId="2307A047" w14:textId="77777777" w:rsidR="00C63FD6" w:rsidRDefault="00C63FD6" w:rsidP="28FAE5F3">
      <w:pPr>
        <w:tabs>
          <w:tab w:val="center" w:pos="4680"/>
        </w:tabs>
        <w:jc w:val="both"/>
      </w:pPr>
    </w:p>
    <w:p w14:paraId="6E7B2280" w14:textId="77777777" w:rsidR="00C63FD6" w:rsidRDefault="00C63FD6" w:rsidP="28FAE5F3">
      <w:pPr>
        <w:tabs>
          <w:tab w:val="center" w:pos="4680"/>
        </w:tabs>
        <w:jc w:val="both"/>
      </w:pPr>
    </w:p>
    <w:p w14:paraId="3DE7DC01" w14:textId="77777777" w:rsidR="00C63FD6" w:rsidRDefault="00C63FD6" w:rsidP="28FAE5F3">
      <w:pPr>
        <w:tabs>
          <w:tab w:val="center" w:pos="4680"/>
        </w:tabs>
        <w:jc w:val="both"/>
      </w:pPr>
    </w:p>
    <w:p w14:paraId="2A1097D6" w14:textId="44754A16" w:rsidR="00222C53" w:rsidRDefault="00222C53" w:rsidP="07F42B70">
      <w:pPr>
        <w:tabs>
          <w:tab w:val="center" w:pos="4680"/>
        </w:tabs>
        <w:jc w:val="both"/>
      </w:pPr>
    </w:p>
    <w:sectPr w:rsidR="00222C53" w:rsidSect="0091044F">
      <w:pgSz w:w="15840" w:h="12240" w:orient="landscape"/>
      <w:pgMar w:top="1440"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9481" w14:textId="77777777" w:rsidR="00D21B94" w:rsidRDefault="00D21B94" w:rsidP="00C71883">
      <w:pPr>
        <w:spacing w:after="0" w:line="240" w:lineRule="auto"/>
      </w:pPr>
      <w:r>
        <w:separator/>
      </w:r>
    </w:p>
  </w:endnote>
  <w:endnote w:type="continuationSeparator" w:id="0">
    <w:p w14:paraId="7555C8B8" w14:textId="77777777" w:rsidR="00D21B94" w:rsidRDefault="00D21B94" w:rsidP="00C71883">
      <w:pPr>
        <w:spacing w:after="0" w:line="240" w:lineRule="auto"/>
      </w:pPr>
      <w:r>
        <w:continuationSeparator/>
      </w:r>
    </w:p>
  </w:endnote>
  <w:endnote w:type="continuationNotice" w:id="1">
    <w:p w14:paraId="27B7BA1D" w14:textId="77777777" w:rsidR="00D21B94" w:rsidRDefault="00D21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ineta BT">
    <w:altName w:val="Calibri"/>
    <w:panose1 w:val="020B0604020202020204"/>
    <w:charset w:val="00"/>
    <w:family w:val="decorative"/>
    <w:pitch w:val="variable"/>
    <w:sig w:usb0="00000087" w:usb1="00000000" w:usb2="00000000" w:usb3="00000000" w:csb0="0000001B"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9AA6" w14:textId="77777777" w:rsidR="00920FB7" w:rsidRDefault="00920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4BB" w14:textId="77777777" w:rsidR="00920FB7" w:rsidRDefault="00920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1A64" w14:textId="77777777" w:rsidR="00920FB7" w:rsidRDefault="0092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5C5B" w14:textId="77777777" w:rsidR="00D21B94" w:rsidRDefault="00D21B94" w:rsidP="00C71883">
      <w:pPr>
        <w:spacing w:after="0" w:line="240" w:lineRule="auto"/>
      </w:pPr>
      <w:r>
        <w:separator/>
      </w:r>
    </w:p>
  </w:footnote>
  <w:footnote w:type="continuationSeparator" w:id="0">
    <w:p w14:paraId="1284C3FB" w14:textId="77777777" w:rsidR="00D21B94" w:rsidRDefault="00D21B94" w:rsidP="00C71883">
      <w:pPr>
        <w:spacing w:after="0" w:line="240" w:lineRule="auto"/>
      </w:pPr>
      <w:r>
        <w:continuationSeparator/>
      </w:r>
    </w:p>
  </w:footnote>
  <w:footnote w:type="continuationNotice" w:id="1">
    <w:p w14:paraId="02C00AB2" w14:textId="77777777" w:rsidR="00D21B94" w:rsidRDefault="00D21B94">
      <w:pPr>
        <w:spacing w:after="0" w:line="240" w:lineRule="auto"/>
      </w:pPr>
    </w:p>
  </w:footnote>
  <w:footnote w:id="2">
    <w:p w14:paraId="2DC9247E" w14:textId="77777777" w:rsidR="004C21FC" w:rsidRDefault="004C21FC" w:rsidP="004C21FC">
      <w:pPr>
        <w:pStyle w:val="FootnoteText"/>
      </w:pPr>
      <w:r>
        <w:rPr>
          <w:rStyle w:val="FootnoteReference"/>
        </w:rPr>
        <w:footnoteRef/>
      </w:r>
      <w:r>
        <w:t xml:space="preserve"> </w:t>
      </w:r>
      <w:r w:rsidRPr="001E6842">
        <w:rPr>
          <w:i/>
          <w:iCs/>
          <w:sz w:val="18"/>
          <w:szCs w:val="18"/>
        </w:rPr>
        <w:t>The consultant is expected to quote a lumpsum in USD which shall be paid in regular installments upon successful completion of tasks and deliverables as indicated in this RFP. Final payment shall require a signed performance evaluation of the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4F16" w14:textId="77777777" w:rsidR="00920FB7" w:rsidRDefault="00920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6FBD" w14:textId="38C868FF" w:rsidR="00DF3884" w:rsidRDefault="007E219A" w:rsidP="00ED6088">
    <w:pPr>
      <w:pStyle w:val="Header"/>
    </w:pPr>
    <w:r w:rsidRPr="007E219A">
      <w:rPr>
        <w:noProof/>
      </w:rPr>
      <w:drawing>
        <wp:inline distT="0" distB="0" distL="0" distR="0" wp14:anchorId="74E2B94C" wp14:editId="5DBB55F2">
          <wp:extent cx="1035050" cy="976620"/>
          <wp:effectExtent l="0" t="0" r="0" b="0"/>
          <wp:docPr id="1052218165" name="Picture 1052218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7745" cy="979163"/>
                  </a:xfrm>
                  <a:prstGeom prst="rect">
                    <a:avLst/>
                  </a:prstGeom>
                </pic:spPr>
              </pic:pic>
            </a:graphicData>
          </a:graphic>
        </wp:inline>
      </w:drawing>
    </w:r>
    <w:r w:rsidR="00DF3884">
      <w:rPr>
        <w:noProof/>
      </w:rPr>
      <w:t xml:space="preserve">    </w:t>
    </w:r>
    <w:r w:rsidR="00ED6088">
      <w:rPr>
        <w:noProof/>
      </w:rPr>
      <w:t xml:space="preserve">       </w:t>
    </w:r>
    <w:r w:rsidR="00ED6088">
      <w:rPr>
        <w:noProof/>
      </w:rPr>
      <w:drawing>
        <wp:inline distT="0" distB="0" distL="0" distR="0" wp14:anchorId="0FD2C52A" wp14:editId="23B27490">
          <wp:extent cx="1187450" cy="555962"/>
          <wp:effectExtent l="0" t="0" r="0" b="0"/>
          <wp:docPr id="1449751964" name="Picture 1449751964">
            <a:extLst xmlns:a="http://schemas.openxmlformats.org/drawingml/2006/main">
              <a:ext uri="{FF2B5EF4-FFF2-40B4-BE49-F238E27FC236}">
                <a16:creationId xmlns:a16="http://schemas.microsoft.com/office/drawing/2014/main" id="{DDC45AE8-E8CF-A839-EBD3-66057E62E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51964" name="Picture 1449751964">
                    <a:extLst>
                      <a:ext uri="{FF2B5EF4-FFF2-40B4-BE49-F238E27FC236}">
                        <a16:creationId xmlns:a16="http://schemas.microsoft.com/office/drawing/2014/main" id="{DDC45AE8-E8CF-A839-EBD3-66057E62EB19}"/>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4365" cy="568564"/>
                  </a:xfrm>
                  <a:prstGeom prst="rect">
                    <a:avLst/>
                  </a:prstGeom>
                </pic:spPr>
              </pic:pic>
            </a:graphicData>
          </a:graphic>
        </wp:inline>
      </w:drawing>
    </w:r>
    <w:r w:rsidR="00DF3884">
      <w:rPr>
        <w:noProof/>
      </w:rPr>
      <w:t xml:space="preserve">     </w:t>
    </w:r>
    <w:r>
      <w:rPr>
        <w:noProof/>
      </w:rPr>
      <w:t xml:space="preserve">       </w:t>
    </w:r>
    <w:r w:rsidR="00ED6088">
      <w:rPr>
        <w:noProof/>
      </w:rPr>
      <w:t xml:space="preserve">     </w:t>
    </w:r>
    <w:r w:rsidR="00ED6088" w:rsidRPr="00A416E6">
      <w:rPr>
        <w:noProof/>
      </w:rPr>
      <w:drawing>
        <wp:inline distT="0" distB="0" distL="0" distR="0" wp14:anchorId="09A4026C" wp14:editId="7BC09443">
          <wp:extent cx="478790" cy="957578"/>
          <wp:effectExtent l="0" t="0" r="0" b="0"/>
          <wp:docPr id="1503894242" name="Picture 150389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94242" name="Picture 1503894242"/>
                  <pic:cNvPicPr>
                    <a:picLocks noChangeAspect="1"/>
                  </pic:cNvPicPr>
                </pic:nvPicPr>
                <pic:blipFill>
                  <a:blip r:embed="rId3"/>
                  <a:srcRect/>
                  <a:stretch>
                    <a:fillRect/>
                  </a:stretch>
                </pic:blipFill>
                <pic:spPr>
                  <a:xfrm>
                    <a:off x="0" y="0"/>
                    <a:ext cx="495977" cy="991952"/>
                  </a:xfrm>
                  <a:prstGeom prst="rect">
                    <a:avLst/>
                  </a:prstGeom>
                </pic:spPr>
              </pic:pic>
            </a:graphicData>
          </a:graphic>
        </wp:inline>
      </w:drawing>
    </w:r>
    <w:r>
      <w:rPr>
        <w:noProof/>
      </w:rPr>
      <w:t xml:space="preserve">     </w:t>
    </w:r>
    <w:r w:rsidR="00DF3884">
      <w:rPr>
        <w:noProof/>
      </w:rPr>
      <w:t xml:space="preserve">             </w:t>
    </w:r>
    <w:r w:rsidR="00ED6088">
      <w:rPr>
        <w:noProof/>
      </w:rPr>
      <w:t xml:space="preserve"> </w:t>
    </w:r>
    <w:r w:rsidR="00ED6088" w:rsidRPr="00B05A65">
      <w:rPr>
        <w:noProof/>
      </w:rPr>
      <w:drawing>
        <wp:inline distT="0" distB="0" distL="0" distR="0" wp14:anchorId="3AD3F62E" wp14:editId="5760155B">
          <wp:extent cx="1283970" cy="955709"/>
          <wp:effectExtent l="0" t="0" r="0" b="0"/>
          <wp:docPr id="709071174" name="Picture 70907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71174" name="Picture 709071174"/>
                  <pic:cNvPicPr>
                    <a:picLocks noChangeAspect="1"/>
                  </pic:cNvPicPr>
                </pic:nvPicPr>
                <pic:blipFill rotWithShape="1">
                  <a:blip r:embed="rId4"/>
                  <a:srcRect l="23003" t="25208" r="23803" b="4402"/>
                  <a:stretch/>
                </pic:blipFill>
                <pic:spPr>
                  <a:xfrm>
                    <a:off x="0" y="0"/>
                    <a:ext cx="1310650" cy="975568"/>
                  </a:xfrm>
                  <a:prstGeom prst="rect">
                    <a:avLst/>
                  </a:prstGeom>
                </pic:spPr>
              </pic:pic>
            </a:graphicData>
          </a:graphic>
        </wp:inline>
      </w:drawing>
    </w:r>
    <w:r w:rsidR="00DF3884">
      <w:rPr>
        <w:noProof/>
      </w:rPr>
      <w:t xml:space="preserve">                                                                                                        </w:t>
    </w:r>
  </w:p>
  <w:p w14:paraId="6C2681CD" w14:textId="77777777" w:rsidR="00DF3884" w:rsidRDefault="00DF3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12D9" w14:textId="77777777" w:rsidR="00920FB7" w:rsidRDefault="00920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825"/>
    <w:multiLevelType w:val="hybridMultilevel"/>
    <w:tmpl w:val="64E2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71E"/>
    <w:multiLevelType w:val="hybridMultilevel"/>
    <w:tmpl w:val="559E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F3EA9"/>
    <w:multiLevelType w:val="hybridMultilevel"/>
    <w:tmpl w:val="0FFA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0B9E"/>
    <w:multiLevelType w:val="hybridMultilevel"/>
    <w:tmpl w:val="547A2948"/>
    <w:lvl w:ilvl="0" w:tplc="B8E0EDE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C302A"/>
    <w:multiLevelType w:val="multilevel"/>
    <w:tmpl w:val="D86E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A7FF1"/>
    <w:multiLevelType w:val="multilevel"/>
    <w:tmpl w:val="15B63B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5299F"/>
    <w:multiLevelType w:val="multilevel"/>
    <w:tmpl w:val="DFE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48452C"/>
    <w:multiLevelType w:val="hybridMultilevel"/>
    <w:tmpl w:val="BBF2AB52"/>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C7797"/>
    <w:multiLevelType w:val="multilevel"/>
    <w:tmpl w:val="5DCE1C12"/>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E7015A6"/>
    <w:multiLevelType w:val="hybridMultilevel"/>
    <w:tmpl w:val="5BBC9882"/>
    <w:lvl w:ilvl="0" w:tplc="FC62D692">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A6655"/>
    <w:multiLevelType w:val="multilevel"/>
    <w:tmpl w:val="178CBD14"/>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192424CA"/>
    <w:multiLevelType w:val="multilevel"/>
    <w:tmpl w:val="45844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DF41B1"/>
    <w:multiLevelType w:val="multilevel"/>
    <w:tmpl w:val="C14409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914673"/>
    <w:multiLevelType w:val="hybridMultilevel"/>
    <w:tmpl w:val="D996EB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B26AAE"/>
    <w:multiLevelType w:val="hybridMultilevel"/>
    <w:tmpl w:val="B8D2CCBC"/>
    <w:lvl w:ilvl="0" w:tplc="5D087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B4886"/>
    <w:multiLevelType w:val="hybridMultilevel"/>
    <w:tmpl w:val="EC46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C3649"/>
    <w:multiLevelType w:val="multilevel"/>
    <w:tmpl w:val="7E6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FE1DD1"/>
    <w:multiLevelType w:val="hybridMultilevel"/>
    <w:tmpl w:val="2840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6762E"/>
    <w:multiLevelType w:val="hybridMultilevel"/>
    <w:tmpl w:val="37063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1B34FF"/>
    <w:multiLevelType w:val="hybridMultilevel"/>
    <w:tmpl w:val="A6409768"/>
    <w:lvl w:ilvl="0" w:tplc="F1669104">
      <w:start w:val="1"/>
      <w:numFmt w:val="bullet"/>
      <w:lvlText w:val=""/>
      <w:lvlJc w:val="left"/>
      <w:pPr>
        <w:ind w:left="1020" w:hanging="360"/>
      </w:pPr>
      <w:rPr>
        <w:rFonts w:ascii="Symbol" w:hAnsi="Symbol"/>
      </w:rPr>
    </w:lvl>
    <w:lvl w:ilvl="1" w:tplc="CF766C20">
      <w:start w:val="1"/>
      <w:numFmt w:val="bullet"/>
      <w:lvlText w:val=""/>
      <w:lvlJc w:val="left"/>
      <w:pPr>
        <w:ind w:left="1020" w:hanging="360"/>
      </w:pPr>
      <w:rPr>
        <w:rFonts w:ascii="Symbol" w:hAnsi="Symbol"/>
      </w:rPr>
    </w:lvl>
    <w:lvl w:ilvl="2" w:tplc="872C0C08">
      <w:start w:val="1"/>
      <w:numFmt w:val="bullet"/>
      <w:lvlText w:val=""/>
      <w:lvlJc w:val="left"/>
      <w:pPr>
        <w:ind w:left="1020" w:hanging="360"/>
      </w:pPr>
      <w:rPr>
        <w:rFonts w:ascii="Symbol" w:hAnsi="Symbol"/>
      </w:rPr>
    </w:lvl>
    <w:lvl w:ilvl="3" w:tplc="F5B48AC6">
      <w:start w:val="1"/>
      <w:numFmt w:val="bullet"/>
      <w:lvlText w:val=""/>
      <w:lvlJc w:val="left"/>
      <w:pPr>
        <w:ind w:left="1020" w:hanging="360"/>
      </w:pPr>
      <w:rPr>
        <w:rFonts w:ascii="Symbol" w:hAnsi="Symbol"/>
      </w:rPr>
    </w:lvl>
    <w:lvl w:ilvl="4" w:tplc="73808236">
      <w:start w:val="1"/>
      <w:numFmt w:val="bullet"/>
      <w:lvlText w:val=""/>
      <w:lvlJc w:val="left"/>
      <w:pPr>
        <w:ind w:left="1020" w:hanging="360"/>
      </w:pPr>
      <w:rPr>
        <w:rFonts w:ascii="Symbol" w:hAnsi="Symbol"/>
      </w:rPr>
    </w:lvl>
    <w:lvl w:ilvl="5" w:tplc="BA9A38CE">
      <w:start w:val="1"/>
      <w:numFmt w:val="bullet"/>
      <w:lvlText w:val=""/>
      <w:lvlJc w:val="left"/>
      <w:pPr>
        <w:ind w:left="1020" w:hanging="360"/>
      </w:pPr>
      <w:rPr>
        <w:rFonts w:ascii="Symbol" w:hAnsi="Symbol"/>
      </w:rPr>
    </w:lvl>
    <w:lvl w:ilvl="6" w:tplc="8938B488">
      <w:start w:val="1"/>
      <w:numFmt w:val="bullet"/>
      <w:lvlText w:val=""/>
      <w:lvlJc w:val="left"/>
      <w:pPr>
        <w:ind w:left="1020" w:hanging="360"/>
      </w:pPr>
      <w:rPr>
        <w:rFonts w:ascii="Symbol" w:hAnsi="Symbol"/>
      </w:rPr>
    </w:lvl>
    <w:lvl w:ilvl="7" w:tplc="75EC482A">
      <w:start w:val="1"/>
      <w:numFmt w:val="bullet"/>
      <w:lvlText w:val=""/>
      <w:lvlJc w:val="left"/>
      <w:pPr>
        <w:ind w:left="1020" w:hanging="360"/>
      </w:pPr>
      <w:rPr>
        <w:rFonts w:ascii="Symbol" w:hAnsi="Symbol"/>
      </w:rPr>
    </w:lvl>
    <w:lvl w:ilvl="8" w:tplc="D66ECAF2">
      <w:start w:val="1"/>
      <w:numFmt w:val="bullet"/>
      <w:lvlText w:val=""/>
      <w:lvlJc w:val="left"/>
      <w:pPr>
        <w:ind w:left="1020" w:hanging="360"/>
      </w:pPr>
      <w:rPr>
        <w:rFonts w:ascii="Symbol" w:hAnsi="Symbol"/>
      </w:rPr>
    </w:lvl>
  </w:abstractNum>
  <w:abstractNum w:abstractNumId="20" w15:restartNumberingAfterBreak="0">
    <w:nsid w:val="2EA824AF"/>
    <w:multiLevelType w:val="hybridMultilevel"/>
    <w:tmpl w:val="FFFFFFFF"/>
    <w:lvl w:ilvl="0" w:tplc="61568C24">
      <w:start w:val="6"/>
      <w:numFmt w:val="decimal"/>
      <w:lvlText w:val="%1."/>
      <w:lvlJc w:val="left"/>
      <w:pPr>
        <w:ind w:left="720" w:hanging="360"/>
      </w:pPr>
    </w:lvl>
    <w:lvl w:ilvl="1" w:tplc="A5B8FC14">
      <w:start w:val="1"/>
      <w:numFmt w:val="bullet"/>
      <w:lvlText w:val=""/>
      <w:lvlJc w:val="left"/>
      <w:pPr>
        <w:ind w:left="1440" w:hanging="360"/>
      </w:pPr>
      <w:rPr>
        <w:rFonts w:ascii="Symbol" w:hAnsi="Symbol" w:hint="default"/>
      </w:rPr>
    </w:lvl>
    <w:lvl w:ilvl="2" w:tplc="34226A82">
      <w:start w:val="1"/>
      <w:numFmt w:val="lowerRoman"/>
      <w:lvlText w:val="%3."/>
      <w:lvlJc w:val="right"/>
      <w:pPr>
        <w:ind w:left="2160" w:hanging="180"/>
      </w:pPr>
    </w:lvl>
    <w:lvl w:ilvl="3" w:tplc="9B522F54">
      <w:start w:val="1"/>
      <w:numFmt w:val="decimal"/>
      <w:lvlText w:val="%4."/>
      <w:lvlJc w:val="left"/>
      <w:pPr>
        <w:ind w:left="2880" w:hanging="360"/>
      </w:pPr>
    </w:lvl>
    <w:lvl w:ilvl="4" w:tplc="FA10C0E4">
      <w:start w:val="1"/>
      <w:numFmt w:val="lowerLetter"/>
      <w:lvlText w:val="%5."/>
      <w:lvlJc w:val="left"/>
      <w:pPr>
        <w:ind w:left="3600" w:hanging="360"/>
      </w:pPr>
    </w:lvl>
    <w:lvl w:ilvl="5" w:tplc="9DBE2BE6">
      <w:start w:val="1"/>
      <w:numFmt w:val="lowerRoman"/>
      <w:lvlText w:val="%6."/>
      <w:lvlJc w:val="right"/>
      <w:pPr>
        <w:ind w:left="4320" w:hanging="180"/>
      </w:pPr>
    </w:lvl>
    <w:lvl w:ilvl="6" w:tplc="73921E6A">
      <w:start w:val="1"/>
      <w:numFmt w:val="decimal"/>
      <w:lvlText w:val="%7."/>
      <w:lvlJc w:val="left"/>
      <w:pPr>
        <w:ind w:left="5040" w:hanging="360"/>
      </w:pPr>
    </w:lvl>
    <w:lvl w:ilvl="7" w:tplc="36F014B8">
      <w:start w:val="1"/>
      <w:numFmt w:val="lowerLetter"/>
      <w:lvlText w:val="%8."/>
      <w:lvlJc w:val="left"/>
      <w:pPr>
        <w:ind w:left="5760" w:hanging="360"/>
      </w:pPr>
    </w:lvl>
    <w:lvl w:ilvl="8" w:tplc="5C525154">
      <w:start w:val="1"/>
      <w:numFmt w:val="lowerRoman"/>
      <w:lvlText w:val="%9."/>
      <w:lvlJc w:val="right"/>
      <w:pPr>
        <w:ind w:left="6480" w:hanging="180"/>
      </w:pPr>
    </w:lvl>
  </w:abstractNum>
  <w:abstractNum w:abstractNumId="21" w15:restartNumberingAfterBreak="0">
    <w:nsid w:val="32506491"/>
    <w:multiLevelType w:val="hybridMultilevel"/>
    <w:tmpl w:val="B7640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60AFC"/>
    <w:multiLevelType w:val="hybridMultilevel"/>
    <w:tmpl w:val="35380A22"/>
    <w:lvl w:ilvl="0" w:tplc="89F271CC">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3" w15:restartNumberingAfterBreak="0">
    <w:nsid w:val="388221C9"/>
    <w:multiLevelType w:val="hybridMultilevel"/>
    <w:tmpl w:val="C3E24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ED7770"/>
    <w:multiLevelType w:val="multilevel"/>
    <w:tmpl w:val="8FA4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410F0D"/>
    <w:multiLevelType w:val="multilevel"/>
    <w:tmpl w:val="4CC0EF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58069D"/>
    <w:multiLevelType w:val="hybridMultilevel"/>
    <w:tmpl w:val="D42AFE04"/>
    <w:lvl w:ilvl="0" w:tplc="653AFD1A">
      <w:start w:val="1"/>
      <w:numFmt w:val="decimal"/>
      <w:lvlText w:val="%1."/>
      <w:lvlJc w:val="left"/>
      <w:pPr>
        <w:tabs>
          <w:tab w:val="num" w:pos="720"/>
        </w:tabs>
        <w:ind w:left="720" w:hanging="360"/>
      </w:pPr>
    </w:lvl>
    <w:lvl w:ilvl="1" w:tplc="77F6AEFA">
      <w:start w:val="1"/>
      <w:numFmt w:val="bullet"/>
      <w:lvlText w:val=""/>
      <w:lvlJc w:val="left"/>
      <w:pPr>
        <w:tabs>
          <w:tab w:val="num" w:pos="1440"/>
        </w:tabs>
        <w:ind w:left="1440" w:hanging="360"/>
      </w:pPr>
      <w:rPr>
        <w:rFonts w:ascii="Symbol" w:hAnsi="Symbol" w:hint="default"/>
        <w:sz w:val="20"/>
      </w:rPr>
    </w:lvl>
    <w:lvl w:ilvl="2" w:tplc="21507C0C">
      <w:start w:val="1"/>
      <w:numFmt w:val="bullet"/>
      <w:lvlText w:val=""/>
      <w:lvlJc w:val="left"/>
      <w:pPr>
        <w:tabs>
          <w:tab w:val="num" w:pos="2160"/>
        </w:tabs>
        <w:ind w:left="2160" w:hanging="360"/>
      </w:pPr>
      <w:rPr>
        <w:rFonts w:ascii="Symbol" w:hAnsi="Symbol" w:hint="default"/>
        <w:sz w:val="20"/>
      </w:rPr>
    </w:lvl>
    <w:lvl w:ilvl="3" w:tplc="46A211D4" w:tentative="1">
      <w:start w:val="1"/>
      <w:numFmt w:val="decimal"/>
      <w:lvlText w:val="%4."/>
      <w:lvlJc w:val="left"/>
      <w:pPr>
        <w:tabs>
          <w:tab w:val="num" w:pos="2880"/>
        </w:tabs>
        <w:ind w:left="2880" w:hanging="360"/>
      </w:pPr>
    </w:lvl>
    <w:lvl w:ilvl="4" w:tplc="37FE9DA8" w:tentative="1">
      <w:start w:val="1"/>
      <w:numFmt w:val="decimal"/>
      <w:lvlText w:val="%5."/>
      <w:lvlJc w:val="left"/>
      <w:pPr>
        <w:tabs>
          <w:tab w:val="num" w:pos="3600"/>
        </w:tabs>
        <w:ind w:left="3600" w:hanging="360"/>
      </w:pPr>
    </w:lvl>
    <w:lvl w:ilvl="5" w:tplc="DA8EF66C" w:tentative="1">
      <w:start w:val="1"/>
      <w:numFmt w:val="decimal"/>
      <w:lvlText w:val="%6."/>
      <w:lvlJc w:val="left"/>
      <w:pPr>
        <w:tabs>
          <w:tab w:val="num" w:pos="4320"/>
        </w:tabs>
        <w:ind w:left="4320" w:hanging="360"/>
      </w:pPr>
    </w:lvl>
    <w:lvl w:ilvl="6" w:tplc="4420E040" w:tentative="1">
      <w:start w:val="1"/>
      <w:numFmt w:val="decimal"/>
      <w:lvlText w:val="%7."/>
      <w:lvlJc w:val="left"/>
      <w:pPr>
        <w:tabs>
          <w:tab w:val="num" w:pos="5040"/>
        </w:tabs>
        <w:ind w:left="5040" w:hanging="360"/>
      </w:pPr>
    </w:lvl>
    <w:lvl w:ilvl="7" w:tplc="838E67A0" w:tentative="1">
      <w:start w:val="1"/>
      <w:numFmt w:val="decimal"/>
      <w:lvlText w:val="%8."/>
      <w:lvlJc w:val="left"/>
      <w:pPr>
        <w:tabs>
          <w:tab w:val="num" w:pos="5760"/>
        </w:tabs>
        <w:ind w:left="5760" w:hanging="360"/>
      </w:pPr>
    </w:lvl>
    <w:lvl w:ilvl="8" w:tplc="D4045398" w:tentative="1">
      <w:start w:val="1"/>
      <w:numFmt w:val="decimal"/>
      <w:lvlText w:val="%9."/>
      <w:lvlJc w:val="left"/>
      <w:pPr>
        <w:tabs>
          <w:tab w:val="num" w:pos="6480"/>
        </w:tabs>
        <w:ind w:left="6480" w:hanging="360"/>
      </w:pPr>
    </w:lvl>
  </w:abstractNum>
  <w:abstractNum w:abstractNumId="27" w15:restartNumberingAfterBreak="0">
    <w:nsid w:val="42A75388"/>
    <w:multiLevelType w:val="multilevel"/>
    <w:tmpl w:val="7D06E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24736B"/>
    <w:multiLevelType w:val="multilevel"/>
    <w:tmpl w:val="317CC096"/>
    <w:lvl w:ilvl="0">
      <w:start w:val="1"/>
      <w:numFmt w:val="decimal"/>
      <w:lvlText w:val="%1."/>
      <w:lvlJc w:val="left"/>
      <w:pPr>
        <w:ind w:left="720" w:hanging="360"/>
      </w:pPr>
      <w:rPr>
        <w:rFonts w:hint="default"/>
        <w:sz w:val="20"/>
      </w:rPr>
    </w:lvl>
    <w:lvl w:ilvl="1">
      <w:start w:val="17"/>
      <w:numFmt w:val="lowerLetter"/>
      <w:lvlText w:val="%2."/>
      <w:lvlJc w:val="left"/>
      <w:pPr>
        <w:ind w:left="1440" w:hanging="360"/>
      </w:pPr>
      <w:rPr>
        <w:rFonts w:hint="default"/>
      </w:rPr>
    </w:lvl>
    <w:lvl w:ilvl="2">
      <w:start w:val="1"/>
      <w:numFmt w:val="decimal"/>
      <w:lvlText w:val="%3."/>
      <w:lvlJc w:val="left"/>
      <w:pPr>
        <w:ind w:left="502" w:hanging="360"/>
      </w:pPr>
      <w:rPr>
        <w:rFonts w:hint="default"/>
        <w:i/>
        <w:iCs/>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08269C"/>
    <w:multiLevelType w:val="multilevel"/>
    <w:tmpl w:val="AEA68F7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620BC9"/>
    <w:multiLevelType w:val="hybridMultilevel"/>
    <w:tmpl w:val="8856BB5E"/>
    <w:lvl w:ilvl="0" w:tplc="04090001">
      <w:start w:val="1"/>
      <w:numFmt w:val="bullet"/>
      <w:lvlText w:val=""/>
      <w:lvlJc w:val="left"/>
      <w:pPr>
        <w:ind w:left="1170" w:hanging="72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5BE3312"/>
    <w:multiLevelType w:val="hybridMultilevel"/>
    <w:tmpl w:val="8A44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E2729"/>
    <w:multiLevelType w:val="hybridMultilevel"/>
    <w:tmpl w:val="91FAD0BA"/>
    <w:lvl w:ilvl="0" w:tplc="087A9D0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444D"/>
    <w:multiLevelType w:val="multilevel"/>
    <w:tmpl w:val="8A10F622"/>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EC1012"/>
    <w:multiLevelType w:val="hybridMultilevel"/>
    <w:tmpl w:val="8A5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E1E7B"/>
    <w:multiLevelType w:val="hybridMultilevel"/>
    <w:tmpl w:val="0E8EC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D11A29"/>
    <w:multiLevelType w:val="hybridMultilevel"/>
    <w:tmpl w:val="43B4BB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D51D1"/>
    <w:multiLevelType w:val="hybridMultilevel"/>
    <w:tmpl w:val="09C065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637261DA"/>
    <w:multiLevelType w:val="hybridMultilevel"/>
    <w:tmpl w:val="6200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66487"/>
    <w:multiLevelType w:val="multilevel"/>
    <w:tmpl w:val="C818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98104A"/>
    <w:multiLevelType w:val="multilevel"/>
    <w:tmpl w:val="3A26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7A7891"/>
    <w:multiLevelType w:val="hybridMultilevel"/>
    <w:tmpl w:val="97FA01B6"/>
    <w:lvl w:ilvl="0" w:tplc="4560FE78">
      <w:start w:val="1"/>
      <w:numFmt w:val="bullet"/>
      <w:lvlText w:val=""/>
      <w:lvlJc w:val="left"/>
      <w:pPr>
        <w:ind w:left="1440" w:hanging="360"/>
      </w:pPr>
      <w:rPr>
        <w:rFonts w:ascii="Symbol" w:hAnsi="Symbol" w:hint="default"/>
        <w:color w:val="00B0F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6EF4502B"/>
    <w:multiLevelType w:val="hybridMultilevel"/>
    <w:tmpl w:val="D8FA8550"/>
    <w:lvl w:ilvl="0" w:tplc="EA0EB060">
      <w:start w:val="1"/>
      <w:numFmt w:val="upperRoman"/>
      <w:lvlText w:val="%1."/>
      <w:lvlJc w:val="left"/>
      <w:pPr>
        <w:ind w:left="81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67EBF"/>
    <w:multiLevelType w:val="hybridMultilevel"/>
    <w:tmpl w:val="C810AAE2"/>
    <w:lvl w:ilvl="0" w:tplc="3A1E060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341CB9"/>
    <w:multiLevelType w:val="hybridMultilevel"/>
    <w:tmpl w:val="5E4AC95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A807CD"/>
    <w:multiLevelType w:val="multilevel"/>
    <w:tmpl w:val="D18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3B0772"/>
    <w:multiLevelType w:val="multilevel"/>
    <w:tmpl w:val="AC96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5E424D"/>
    <w:multiLevelType w:val="hybridMultilevel"/>
    <w:tmpl w:val="46C6940E"/>
    <w:lvl w:ilvl="0" w:tplc="B204D8A0">
      <w:start w:val="1"/>
      <w:numFmt w:val="lowerLetter"/>
      <w:lvlText w:val="%1."/>
      <w:lvlJc w:val="left"/>
      <w:pPr>
        <w:tabs>
          <w:tab w:val="num" w:pos="745"/>
        </w:tabs>
        <w:ind w:left="745" w:hanging="360"/>
      </w:pPr>
      <w:rPr>
        <w:rFonts w:hint="default"/>
      </w:rPr>
    </w:lvl>
    <w:lvl w:ilvl="1" w:tplc="04090003" w:tentative="1">
      <w:start w:val="1"/>
      <w:numFmt w:val="bullet"/>
      <w:lvlText w:val="o"/>
      <w:lvlJc w:val="left"/>
      <w:pPr>
        <w:tabs>
          <w:tab w:val="num" w:pos="1465"/>
        </w:tabs>
        <w:ind w:left="1465" w:hanging="360"/>
      </w:pPr>
      <w:rPr>
        <w:rFonts w:ascii="Courier New" w:hAnsi="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48" w15:restartNumberingAfterBreak="0">
    <w:nsid w:val="7C9A018F"/>
    <w:multiLevelType w:val="hybridMultilevel"/>
    <w:tmpl w:val="D54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71498"/>
    <w:multiLevelType w:val="multilevel"/>
    <w:tmpl w:val="A184EDD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DC6EE2"/>
    <w:multiLevelType w:val="hybridMultilevel"/>
    <w:tmpl w:val="B5FAC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131630">
    <w:abstractNumId w:val="50"/>
  </w:num>
  <w:num w:numId="2" w16cid:durableId="180321463">
    <w:abstractNumId w:val="7"/>
  </w:num>
  <w:num w:numId="3" w16cid:durableId="1483277116">
    <w:abstractNumId w:val="49"/>
  </w:num>
  <w:num w:numId="4" w16cid:durableId="1209957485">
    <w:abstractNumId w:val="14"/>
  </w:num>
  <w:num w:numId="5" w16cid:durableId="1982533934">
    <w:abstractNumId w:val="22"/>
  </w:num>
  <w:num w:numId="6" w16cid:durableId="25759971">
    <w:abstractNumId w:val="30"/>
  </w:num>
  <w:num w:numId="7" w16cid:durableId="1313170354">
    <w:abstractNumId w:val="8"/>
  </w:num>
  <w:num w:numId="8" w16cid:durableId="373122692">
    <w:abstractNumId w:val="18"/>
  </w:num>
  <w:num w:numId="9" w16cid:durableId="527066615">
    <w:abstractNumId w:val="35"/>
  </w:num>
  <w:num w:numId="10" w16cid:durableId="1553466541">
    <w:abstractNumId w:val="0"/>
  </w:num>
  <w:num w:numId="11" w16cid:durableId="36586622">
    <w:abstractNumId w:val="36"/>
  </w:num>
  <w:num w:numId="12" w16cid:durableId="424377336">
    <w:abstractNumId w:val="17"/>
  </w:num>
  <w:num w:numId="13" w16cid:durableId="103813356">
    <w:abstractNumId w:val="38"/>
  </w:num>
  <w:num w:numId="14" w16cid:durableId="951012063">
    <w:abstractNumId w:val="2"/>
  </w:num>
  <w:num w:numId="15" w16cid:durableId="1134297503">
    <w:abstractNumId w:val="31"/>
  </w:num>
  <w:num w:numId="16" w16cid:durableId="1304197354">
    <w:abstractNumId w:val="32"/>
  </w:num>
  <w:num w:numId="17" w16cid:durableId="982125968">
    <w:abstractNumId w:val="44"/>
  </w:num>
  <w:num w:numId="18" w16cid:durableId="87772704">
    <w:abstractNumId w:val="34"/>
  </w:num>
  <w:num w:numId="19" w16cid:durableId="614793415">
    <w:abstractNumId w:val="1"/>
  </w:num>
  <w:num w:numId="20" w16cid:durableId="213858077">
    <w:abstractNumId w:val="19"/>
  </w:num>
  <w:num w:numId="21" w16cid:durableId="480464913">
    <w:abstractNumId w:val="37"/>
  </w:num>
  <w:num w:numId="22" w16cid:durableId="1827428520">
    <w:abstractNumId w:val="3"/>
  </w:num>
  <w:num w:numId="23" w16cid:durableId="1068697991">
    <w:abstractNumId w:val="15"/>
  </w:num>
  <w:num w:numId="24" w16cid:durableId="1198081435">
    <w:abstractNumId w:val="48"/>
  </w:num>
  <w:num w:numId="25" w16cid:durableId="1596212519">
    <w:abstractNumId w:val="13"/>
  </w:num>
  <w:num w:numId="26" w16cid:durableId="639767980">
    <w:abstractNumId w:val="42"/>
  </w:num>
  <w:num w:numId="27" w16cid:durableId="2093506013">
    <w:abstractNumId w:val="47"/>
  </w:num>
  <w:num w:numId="28" w16cid:durableId="336004279">
    <w:abstractNumId w:val="25"/>
  </w:num>
  <w:num w:numId="29" w16cid:durableId="877550038">
    <w:abstractNumId w:val="12"/>
  </w:num>
  <w:num w:numId="30" w16cid:durableId="2118330208">
    <w:abstractNumId w:val="29"/>
  </w:num>
  <w:num w:numId="31" w16cid:durableId="515002928">
    <w:abstractNumId w:val="41"/>
  </w:num>
  <w:num w:numId="32" w16cid:durableId="510528097">
    <w:abstractNumId w:val="39"/>
  </w:num>
  <w:num w:numId="33" w16cid:durableId="351079147">
    <w:abstractNumId w:val="9"/>
  </w:num>
  <w:num w:numId="34" w16cid:durableId="478150679">
    <w:abstractNumId w:val="24"/>
  </w:num>
  <w:num w:numId="35" w16cid:durableId="1849782653">
    <w:abstractNumId w:val="27"/>
  </w:num>
  <w:num w:numId="36" w16cid:durableId="1242450600">
    <w:abstractNumId w:val="26"/>
  </w:num>
  <w:num w:numId="37" w16cid:durableId="501312777">
    <w:abstractNumId w:val="16"/>
  </w:num>
  <w:num w:numId="38" w16cid:durableId="1671521029">
    <w:abstractNumId w:val="33"/>
  </w:num>
  <w:num w:numId="39" w16cid:durableId="140511840">
    <w:abstractNumId w:val="21"/>
  </w:num>
  <w:num w:numId="40" w16cid:durableId="316962938">
    <w:abstractNumId w:val="23"/>
  </w:num>
  <w:num w:numId="41" w16cid:durableId="665866938">
    <w:abstractNumId w:val="4"/>
  </w:num>
  <w:num w:numId="42" w16cid:durableId="322974342">
    <w:abstractNumId w:val="10"/>
  </w:num>
  <w:num w:numId="43" w16cid:durableId="465516208">
    <w:abstractNumId w:val="46"/>
  </w:num>
  <w:num w:numId="44" w16cid:durableId="306861501">
    <w:abstractNumId w:val="6"/>
  </w:num>
  <w:num w:numId="45" w16cid:durableId="1579288112">
    <w:abstractNumId w:val="11"/>
  </w:num>
  <w:num w:numId="46" w16cid:durableId="262806415">
    <w:abstractNumId w:val="40"/>
  </w:num>
  <w:num w:numId="47" w16cid:durableId="841971594">
    <w:abstractNumId w:val="45"/>
  </w:num>
  <w:num w:numId="48" w16cid:durableId="2043479751">
    <w:abstractNumId w:val="28"/>
  </w:num>
  <w:num w:numId="49" w16cid:durableId="1184975954">
    <w:abstractNumId w:val="43"/>
  </w:num>
  <w:num w:numId="50" w16cid:durableId="2090879599">
    <w:abstractNumId w:val="5"/>
  </w:num>
  <w:num w:numId="51" w16cid:durableId="67190717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DD"/>
    <w:rsid w:val="00000F29"/>
    <w:rsid w:val="00001905"/>
    <w:rsid w:val="00003202"/>
    <w:rsid w:val="00005133"/>
    <w:rsid w:val="000057FB"/>
    <w:rsid w:val="0000727B"/>
    <w:rsid w:val="00007461"/>
    <w:rsid w:val="0001156A"/>
    <w:rsid w:val="00013DE3"/>
    <w:rsid w:val="00014BAD"/>
    <w:rsid w:val="0001583E"/>
    <w:rsid w:val="0002116D"/>
    <w:rsid w:val="00022C4F"/>
    <w:rsid w:val="00023C17"/>
    <w:rsid w:val="00024A31"/>
    <w:rsid w:val="000268A0"/>
    <w:rsid w:val="00027781"/>
    <w:rsid w:val="00030344"/>
    <w:rsid w:val="000321FD"/>
    <w:rsid w:val="000324EF"/>
    <w:rsid w:val="00035590"/>
    <w:rsid w:val="00036785"/>
    <w:rsid w:val="00046B42"/>
    <w:rsid w:val="00051194"/>
    <w:rsid w:val="00052C2E"/>
    <w:rsid w:val="00052C9D"/>
    <w:rsid w:val="000557A4"/>
    <w:rsid w:val="00057ADB"/>
    <w:rsid w:val="00060FEB"/>
    <w:rsid w:val="00065858"/>
    <w:rsid w:val="00073936"/>
    <w:rsid w:val="000741F2"/>
    <w:rsid w:val="00083E0A"/>
    <w:rsid w:val="00084142"/>
    <w:rsid w:val="00086B55"/>
    <w:rsid w:val="000A04E0"/>
    <w:rsid w:val="000A25DB"/>
    <w:rsid w:val="000B009A"/>
    <w:rsid w:val="000B07DB"/>
    <w:rsid w:val="000B2CC8"/>
    <w:rsid w:val="000B4A5E"/>
    <w:rsid w:val="000B4D21"/>
    <w:rsid w:val="000B5E3E"/>
    <w:rsid w:val="000B65AC"/>
    <w:rsid w:val="000C226D"/>
    <w:rsid w:val="000C39DC"/>
    <w:rsid w:val="000C4DDC"/>
    <w:rsid w:val="000D7383"/>
    <w:rsid w:val="000D73EB"/>
    <w:rsid w:val="000D7503"/>
    <w:rsid w:val="000E0D12"/>
    <w:rsid w:val="000E0E7B"/>
    <w:rsid w:val="000E221D"/>
    <w:rsid w:val="000E3BD2"/>
    <w:rsid w:val="000F02D4"/>
    <w:rsid w:val="000F4444"/>
    <w:rsid w:val="000F564E"/>
    <w:rsid w:val="000F591D"/>
    <w:rsid w:val="001010B6"/>
    <w:rsid w:val="001035ED"/>
    <w:rsid w:val="00104B0B"/>
    <w:rsid w:val="0011074D"/>
    <w:rsid w:val="001108EB"/>
    <w:rsid w:val="00113264"/>
    <w:rsid w:val="0011375F"/>
    <w:rsid w:val="001145CC"/>
    <w:rsid w:val="0012022C"/>
    <w:rsid w:val="0012068B"/>
    <w:rsid w:val="001263C8"/>
    <w:rsid w:val="00127F78"/>
    <w:rsid w:val="00136F9B"/>
    <w:rsid w:val="001471E7"/>
    <w:rsid w:val="001501E9"/>
    <w:rsid w:val="00150A3D"/>
    <w:rsid w:val="0015181D"/>
    <w:rsid w:val="001521A7"/>
    <w:rsid w:val="001620D7"/>
    <w:rsid w:val="0016362D"/>
    <w:rsid w:val="001659D1"/>
    <w:rsid w:val="00166CB5"/>
    <w:rsid w:val="00173900"/>
    <w:rsid w:val="00174643"/>
    <w:rsid w:val="001754C3"/>
    <w:rsid w:val="0018158D"/>
    <w:rsid w:val="00182B6C"/>
    <w:rsid w:val="00184622"/>
    <w:rsid w:val="00186D3F"/>
    <w:rsid w:val="00187357"/>
    <w:rsid w:val="0018748E"/>
    <w:rsid w:val="00192411"/>
    <w:rsid w:val="001A086D"/>
    <w:rsid w:val="001A1458"/>
    <w:rsid w:val="001A5F73"/>
    <w:rsid w:val="001A7E63"/>
    <w:rsid w:val="001B10D4"/>
    <w:rsid w:val="001B66C0"/>
    <w:rsid w:val="001B7669"/>
    <w:rsid w:val="001C4C9D"/>
    <w:rsid w:val="001D0E37"/>
    <w:rsid w:val="001D0E6C"/>
    <w:rsid w:val="001D46C9"/>
    <w:rsid w:val="001D74AC"/>
    <w:rsid w:val="001E2736"/>
    <w:rsid w:val="001E3645"/>
    <w:rsid w:val="001E6FC1"/>
    <w:rsid w:val="001F2F88"/>
    <w:rsid w:val="001F4356"/>
    <w:rsid w:val="00200D36"/>
    <w:rsid w:val="00205AA3"/>
    <w:rsid w:val="002079A5"/>
    <w:rsid w:val="00212908"/>
    <w:rsid w:val="00212912"/>
    <w:rsid w:val="0021450A"/>
    <w:rsid w:val="0021682A"/>
    <w:rsid w:val="00222247"/>
    <w:rsid w:val="00222A90"/>
    <w:rsid w:val="00222C53"/>
    <w:rsid w:val="00224517"/>
    <w:rsid w:val="00230989"/>
    <w:rsid w:val="00230C30"/>
    <w:rsid w:val="0023319F"/>
    <w:rsid w:val="002404B7"/>
    <w:rsid w:val="00241D7E"/>
    <w:rsid w:val="00243913"/>
    <w:rsid w:val="002451AF"/>
    <w:rsid w:val="00245EEB"/>
    <w:rsid w:val="00246745"/>
    <w:rsid w:val="00247397"/>
    <w:rsid w:val="0025394C"/>
    <w:rsid w:val="00254600"/>
    <w:rsid w:val="00254B09"/>
    <w:rsid w:val="00255F4F"/>
    <w:rsid w:val="00265F9F"/>
    <w:rsid w:val="00267A21"/>
    <w:rsid w:val="00271478"/>
    <w:rsid w:val="0027150E"/>
    <w:rsid w:val="002720C2"/>
    <w:rsid w:val="0027380B"/>
    <w:rsid w:val="00276F53"/>
    <w:rsid w:val="00283F15"/>
    <w:rsid w:val="002879F1"/>
    <w:rsid w:val="0029172C"/>
    <w:rsid w:val="00293D1C"/>
    <w:rsid w:val="00295C70"/>
    <w:rsid w:val="00295E83"/>
    <w:rsid w:val="002A30D9"/>
    <w:rsid w:val="002A388A"/>
    <w:rsid w:val="002A3BA4"/>
    <w:rsid w:val="002B31E3"/>
    <w:rsid w:val="002B5701"/>
    <w:rsid w:val="002C2482"/>
    <w:rsid w:val="002C3FAA"/>
    <w:rsid w:val="002C63E7"/>
    <w:rsid w:val="002E20B9"/>
    <w:rsid w:val="002E28D7"/>
    <w:rsid w:val="002E28ED"/>
    <w:rsid w:val="002E4E50"/>
    <w:rsid w:val="002E5713"/>
    <w:rsid w:val="002E787D"/>
    <w:rsid w:val="002F0672"/>
    <w:rsid w:val="002F2943"/>
    <w:rsid w:val="002F29A9"/>
    <w:rsid w:val="002F3E0A"/>
    <w:rsid w:val="002F4DFF"/>
    <w:rsid w:val="002F4FB4"/>
    <w:rsid w:val="002F64DE"/>
    <w:rsid w:val="00305128"/>
    <w:rsid w:val="0030619F"/>
    <w:rsid w:val="00312CB9"/>
    <w:rsid w:val="00315E39"/>
    <w:rsid w:val="00333995"/>
    <w:rsid w:val="00335BC2"/>
    <w:rsid w:val="00337178"/>
    <w:rsid w:val="0034159C"/>
    <w:rsid w:val="00342D1B"/>
    <w:rsid w:val="00346FCF"/>
    <w:rsid w:val="003521A3"/>
    <w:rsid w:val="00353F04"/>
    <w:rsid w:val="0035504A"/>
    <w:rsid w:val="00356EEA"/>
    <w:rsid w:val="00361749"/>
    <w:rsid w:val="0036534E"/>
    <w:rsid w:val="003664F7"/>
    <w:rsid w:val="00367BE6"/>
    <w:rsid w:val="00374F98"/>
    <w:rsid w:val="00382428"/>
    <w:rsid w:val="00384F41"/>
    <w:rsid w:val="00395243"/>
    <w:rsid w:val="0039679F"/>
    <w:rsid w:val="003A02B7"/>
    <w:rsid w:val="003A25FE"/>
    <w:rsid w:val="003A3768"/>
    <w:rsid w:val="003A59E7"/>
    <w:rsid w:val="003B2DAE"/>
    <w:rsid w:val="003B7608"/>
    <w:rsid w:val="003B7977"/>
    <w:rsid w:val="003C07A5"/>
    <w:rsid w:val="003C2AEE"/>
    <w:rsid w:val="003D2F62"/>
    <w:rsid w:val="003D37F6"/>
    <w:rsid w:val="003D40F6"/>
    <w:rsid w:val="003D4813"/>
    <w:rsid w:val="003E09E6"/>
    <w:rsid w:val="003E15DB"/>
    <w:rsid w:val="003E49F2"/>
    <w:rsid w:val="003E4DEC"/>
    <w:rsid w:val="003E5390"/>
    <w:rsid w:val="003E59FF"/>
    <w:rsid w:val="003F4D74"/>
    <w:rsid w:val="003F6284"/>
    <w:rsid w:val="00400C51"/>
    <w:rsid w:val="0040694E"/>
    <w:rsid w:val="0041349F"/>
    <w:rsid w:val="00417928"/>
    <w:rsid w:val="00425E0B"/>
    <w:rsid w:val="0042631F"/>
    <w:rsid w:val="004277B9"/>
    <w:rsid w:val="0043235B"/>
    <w:rsid w:val="00432AC5"/>
    <w:rsid w:val="00433895"/>
    <w:rsid w:val="0043569D"/>
    <w:rsid w:val="0043576B"/>
    <w:rsid w:val="0043583B"/>
    <w:rsid w:val="0044341D"/>
    <w:rsid w:val="00443CCD"/>
    <w:rsid w:val="00446DDF"/>
    <w:rsid w:val="00451E3B"/>
    <w:rsid w:val="004520A7"/>
    <w:rsid w:val="00452CDD"/>
    <w:rsid w:val="004562AE"/>
    <w:rsid w:val="00457D0E"/>
    <w:rsid w:val="004663E4"/>
    <w:rsid w:val="0046690A"/>
    <w:rsid w:val="00466D15"/>
    <w:rsid w:val="00472E94"/>
    <w:rsid w:val="00473CB7"/>
    <w:rsid w:val="00481D2C"/>
    <w:rsid w:val="00484D8D"/>
    <w:rsid w:val="00485D8D"/>
    <w:rsid w:val="0049105B"/>
    <w:rsid w:val="00491C95"/>
    <w:rsid w:val="00492C53"/>
    <w:rsid w:val="00494824"/>
    <w:rsid w:val="0049617A"/>
    <w:rsid w:val="0049754B"/>
    <w:rsid w:val="00497F48"/>
    <w:rsid w:val="004A5A14"/>
    <w:rsid w:val="004A7D66"/>
    <w:rsid w:val="004B6B50"/>
    <w:rsid w:val="004C1321"/>
    <w:rsid w:val="004C21FC"/>
    <w:rsid w:val="004E07B3"/>
    <w:rsid w:val="004E38C2"/>
    <w:rsid w:val="004E78A9"/>
    <w:rsid w:val="004E7BF6"/>
    <w:rsid w:val="004F064D"/>
    <w:rsid w:val="004F557E"/>
    <w:rsid w:val="00500846"/>
    <w:rsid w:val="00502A26"/>
    <w:rsid w:val="005048E9"/>
    <w:rsid w:val="0050591A"/>
    <w:rsid w:val="00507D37"/>
    <w:rsid w:val="0051266A"/>
    <w:rsid w:val="00513E03"/>
    <w:rsid w:val="0051603F"/>
    <w:rsid w:val="0051609F"/>
    <w:rsid w:val="00516D7C"/>
    <w:rsid w:val="005171B7"/>
    <w:rsid w:val="00520AD6"/>
    <w:rsid w:val="00524388"/>
    <w:rsid w:val="005262D9"/>
    <w:rsid w:val="005274BB"/>
    <w:rsid w:val="00530284"/>
    <w:rsid w:val="005306AD"/>
    <w:rsid w:val="00532AE4"/>
    <w:rsid w:val="005334F6"/>
    <w:rsid w:val="00542C30"/>
    <w:rsid w:val="00542DA1"/>
    <w:rsid w:val="00546882"/>
    <w:rsid w:val="00553D8E"/>
    <w:rsid w:val="005541AA"/>
    <w:rsid w:val="005566CF"/>
    <w:rsid w:val="00564088"/>
    <w:rsid w:val="00564623"/>
    <w:rsid w:val="00564FB5"/>
    <w:rsid w:val="005701EB"/>
    <w:rsid w:val="00571D96"/>
    <w:rsid w:val="00580AAF"/>
    <w:rsid w:val="00581645"/>
    <w:rsid w:val="00581B62"/>
    <w:rsid w:val="00582088"/>
    <w:rsid w:val="00583306"/>
    <w:rsid w:val="00583A74"/>
    <w:rsid w:val="00583E4E"/>
    <w:rsid w:val="00590A5A"/>
    <w:rsid w:val="00593052"/>
    <w:rsid w:val="005938F6"/>
    <w:rsid w:val="0059523E"/>
    <w:rsid w:val="005A470F"/>
    <w:rsid w:val="005A4BE7"/>
    <w:rsid w:val="005B302C"/>
    <w:rsid w:val="005B4049"/>
    <w:rsid w:val="005B6D3C"/>
    <w:rsid w:val="005C6C12"/>
    <w:rsid w:val="005C7509"/>
    <w:rsid w:val="005D1233"/>
    <w:rsid w:val="005D2C91"/>
    <w:rsid w:val="005D37B0"/>
    <w:rsid w:val="005D540C"/>
    <w:rsid w:val="005D564D"/>
    <w:rsid w:val="005D7951"/>
    <w:rsid w:val="005D7C08"/>
    <w:rsid w:val="005E2DA3"/>
    <w:rsid w:val="005E2DEB"/>
    <w:rsid w:val="005E33F1"/>
    <w:rsid w:val="005E5402"/>
    <w:rsid w:val="005E5B04"/>
    <w:rsid w:val="005F18F7"/>
    <w:rsid w:val="005F4F5D"/>
    <w:rsid w:val="005F5B01"/>
    <w:rsid w:val="00604369"/>
    <w:rsid w:val="00604C5D"/>
    <w:rsid w:val="006060EF"/>
    <w:rsid w:val="00606FAA"/>
    <w:rsid w:val="00613782"/>
    <w:rsid w:val="00614D8B"/>
    <w:rsid w:val="00623EDD"/>
    <w:rsid w:val="0063046B"/>
    <w:rsid w:val="00632980"/>
    <w:rsid w:val="00634526"/>
    <w:rsid w:val="006351F7"/>
    <w:rsid w:val="00636FCB"/>
    <w:rsid w:val="006414AD"/>
    <w:rsid w:val="00641BB5"/>
    <w:rsid w:val="00644754"/>
    <w:rsid w:val="00650D7F"/>
    <w:rsid w:val="00650FEA"/>
    <w:rsid w:val="00651DDF"/>
    <w:rsid w:val="006531F4"/>
    <w:rsid w:val="006532FE"/>
    <w:rsid w:val="00657009"/>
    <w:rsid w:val="00664193"/>
    <w:rsid w:val="00670234"/>
    <w:rsid w:val="00673851"/>
    <w:rsid w:val="00677D53"/>
    <w:rsid w:val="006863EE"/>
    <w:rsid w:val="00692C81"/>
    <w:rsid w:val="0069470E"/>
    <w:rsid w:val="006951D4"/>
    <w:rsid w:val="00695B14"/>
    <w:rsid w:val="0069720C"/>
    <w:rsid w:val="006A04C6"/>
    <w:rsid w:val="006A3871"/>
    <w:rsid w:val="006A43BF"/>
    <w:rsid w:val="006A67C5"/>
    <w:rsid w:val="006B1C01"/>
    <w:rsid w:val="006B2708"/>
    <w:rsid w:val="006B298E"/>
    <w:rsid w:val="006B4060"/>
    <w:rsid w:val="006B53BE"/>
    <w:rsid w:val="006B66D3"/>
    <w:rsid w:val="006B7E33"/>
    <w:rsid w:val="006BC700"/>
    <w:rsid w:val="006C55D9"/>
    <w:rsid w:val="006D39F9"/>
    <w:rsid w:val="006D56EA"/>
    <w:rsid w:val="006D63D6"/>
    <w:rsid w:val="006D7166"/>
    <w:rsid w:val="006E19D9"/>
    <w:rsid w:val="006E1FC7"/>
    <w:rsid w:val="006E6F75"/>
    <w:rsid w:val="006F56E0"/>
    <w:rsid w:val="006F570C"/>
    <w:rsid w:val="007016C3"/>
    <w:rsid w:val="007040A8"/>
    <w:rsid w:val="00704598"/>
    <w:rsid w:val="00706D21"/>
    <w:rsid w:val="00707EA0"/>
    <w:rsid w:val="00712835"/>
    <w:rsid w:val="00714B0A"/>
    <w:rsid w:val="0071505F"/>
    <w:rsid w:val="0072636B"/>
    <w:rsid w:val="00731B6A"/>
    <w:rsid w:val="007341D8"/>
    <w:rsid w:val="00735A64"/>
    <w:rsid w:val="00735D96"/>
    <w:rsid w:val="007367D3"/>
    <w:rsid w:val="00737B8C"/>
    <w:rsid w:val="00741418"/>
    <w:rsid w:val="00743D00"/>
    <w:rsid w:val="00746C86"/>
    <w:rsid w:val="00754E6E"/>
    <w:rsid w:val="00754F75"/>
    <w:rsid w:val="007554CD"/>
    <w:rsid w:val="00763E31"/>
    <w:rsid w:val="00770943"/>
    <w:rsid w:val="00772B40"/>
    <w:rsid w:val="0077418E"/>
    <w:rsid w:val="007748C5"/>
    <w:rsid w:val="00783404"/>
    <w:rsid w:val="00783CD8"/>
    <w:rsid w:val="00785E7E"/>
    <w:rsid w:val="007860C7"/>
    <w:rsid w:val="007861F7"/>
    <w:rsid w:val="00791683"/>
    <w:rsid w:val="00791AD1"/>
    <w:rsid w:val="00797809"/>
    <w:rsid w:val="00797C5A"/>
    <w:rsid w:val="007A0DA5"/>
    <w:rsid w:val="007A3729"/>
    <w:rsid w:val="007A4622"/>
    <w:rsid w:val="007A76DF"/>
    <w:rsid w:val="007A789A"/>
    <w:rsid w:val="007B1967"/>
    <w:rsid w:val="007B3BF8"/>
    <w:rsid w:val="007B724A"/>
    <w:rsid w:val="007B7E00"/>
    <w:rsid w:val="007C2A73"/>
    <w:rsid w:val="007C567A"/>
    <w:rsid w:val="007CE5AE"/>
    <w:rsid w:val="007D00B0"/>
    <w:rsid w:val="007D1157"/>
    <w:rsid w:val="007D204D"/>
    <w:rsid w:val="007D328A"/>
    <w:rsid w:val="007D3988"/>
    <w:rsid w:val="007D726A"/>
    <w:rsid w:val="007D77F3"/>
    <w:rsid w:val="007D7D6A"/>
    <w:rsid w:val="007E219A"/>
    <w:rsid w:val="007E6CD9"/>
    <w:rsid w:val="007E72CF"/>
    <w:rsid w:val="007F4081"/>
    <w:rsid w:val="00800548"/>
    <w:rsid w:val="00805C9A"/>
    <w:rsid w:val="008108D2"/>
    <w:rsid w:val="00810F0C"/>
    <w:rsid w:val="00811F79"/>
    <w:rsid w:val="008121F3"/>
    <w:rsid w:val="00812B39"/>
    <w:rsid w:val="00813ED5"/>
    <w:rsid w:val="00816E91"/>
    <w:rsid w:val="00823EC8"/>
    <w:rsid w:val="008241FA"/>
    <w:rsid w:val="00827582"/>
    <w:rsid w:val="00827E2A"/>
    <w:rsid w:val="00830979"/>
    <w:rsid w:val="00831D36"/>
    <w:rsid w:val="008331E1"/>
    <w:rsid w:val="0083381B"/>
    <w:rsid w:val="008354DC"/>
    <w:rsid w:val="008367D3"/>
    <w:rsid w:val="008403D3"/>
    <w:rsid w:val="00840646"/>
    <w:rsid w:val="00844059"/>
    <w:rsid w:val="00844A75"/>
    <w:rsid w:val="0084653C"/>
    <w:rsid w:val="00846734"/>
    <w:rsid w:val="0085019D"/>
    <w:rsid w:val="00851892"/>
    <w:rsid w:val="00851A47"/>
    <w:rsid w:val="00851E18"/>
    <w:rsid w:val="008529FF"/>
    <w:rsid w:val="00852A12"/>
    <w:rsid w:val="0085686D"/>
    <w:rsid w:val="008601DA"/>
    <w:rsid w:val="0086266F"/>
    <w:rsid w:val="008719C4"/>
    <w:rsid w:val="00875358"/>
    <w:rsid w:val="008813D2"/>
    <w:rsid w:val="008842EF"/>
    <w:rsid w:val="008865E9"/>
    <w:rsid w:val="00893B87"/>
    <w:rsid w:val="00893E79"/>
    <w:rsid w:val="008A0034"/>
    <w:rsid w:val="008A2369"/>
    <w:rsid w:val="008A2E37"/>
    <w:rsid w:val="008A368C"/>
    <w:rsid w:val="008A58A2"/>
    <w:rsid w:val="008A5AB2"/>
    <w:rsid w:val="008A6193"/>
    <w:rsid w:val="008B5395"/>
    <w:rsid w:val="008B734A"/>
    <w:rsid w:val="008B750A"/>
    <w:rsid w:val="008B75D3"/>
    <w:rsid w:val="008C0E13"/>
    <w:rsid w:val="008C1B9D"/>
    <w:rsid w:val="008C276E"/>
    <w:rsid w:val="008C5DA7"/>
    <w:rsid w:val="008C6017"/>
    <w:rsid w:val="008D1381"/>
    <w:rsid w:val="008D359C"/>
    <w:rsid w:val="008D3B16"/>
    <w:rsid w:val="008D4688"/>
    <w:rsid w:val="008E0F63"/>
    <w:rsid w:val="008E134F"/>
    <w:rsid w:val="008E1899"/>
    <w:rsid w:val="008E3910"/>
    <w:rsid w:val="008E79C2"/>
    <w:rsid w:val="008F0A89"/>
    <w:rsid w:val="008F2371"/>
    <w:rsid w:val="008F2E4D"/>
    <w:rsid w:val="008F7AE2"/>
    <w:rsid w:val="00901AF6"/>
    <w:rsid w:val="009032CE"/>
    <w:rsid w:val="009065E8"/>
    <w:rsid w:val="0091044F"/>
    <w:rsid w:val="0091097C"/>
    <w:rsid w:val="00920FB7"/>
    <w:rsid w:val="00923529"/>
    <w:rsid w:val="00925B50"/>
    <w:rsid w:val="00926812"/>
    <w:rsid w:val="009273DB"/>
    <w:rsid w:val="009311E9"/>
    <w:rsid w:val="0093130F"/>
    <w:rsid w:val="00931E6E"/>
    <w:rsid w:val="00933BE2"/>
    <w:rsid w:val="00935960"/>
    <w:rsid w:val="00935C9E"/>
    <w:rsid w:val="009366E4"/>
    <w:rsid w:val="009446C7"/>
    <w:rsid w:val="00946816"/>
    <w:rsid w:val="0095093D"/>
    <w:rsid w:val="009536DF"/>
    <w:rsid w:val="00953C9A"/>
    <w:rsid w:val="0095553C"/>
    <w:rsid w:val="009558CA"/>
    <w:rsid w:val="00963672"/>
    <w:rsid w:val="00963683"/>
    <w:rsid w:val="00964229"/>
    <w:rsid w:val="009647BD"/>
    <w:rsid w:val="009672F1"/>
    <w:rsid w:val="00972D90"/>
    <w:rsid w:val="0098123F"/>
    <w:rsid w:val="0098240A"/>
    <w:rsid w:val="00984693"/>
    <w:rsid w:val="00984B93"/>
    <w:rsid w:val="00992DC8"/>
    <w:rsid w:val="0099386B"/>
    <w:rsid w:val="009953D3"/>
    <w:rsid w:val="009965C5"/>
    <w:rsid w:val="009A4207"/>
    <w:rsid w:val="009A4FBA"/>
    <w:rsid w:val="009A76AA"/>
    <w:rsid w:val="009A7FA3"/>
    <w:rsid w:val="009B088B"/>
    <w:rsid w:val="009B172F"/>
    <w:rsid w:val="009B341D"/>
    <w:rsid w:val="009B7A31"/>
    <w:rsid w:val="009C1788"/>
    <w:rsid w:val="009C1F22"/>
    <w:rsid w:val="009D2DDB"/>
    <w:rsid w:val="009D78B5"/>
    <w:rsid w:val="009E2911"/>
    <w:rsid w:val="009E2E1D"/>
    <w:rsid w:val="009F28DA"/>
    <w:rsid w:val="009F39A9"/>
    <w:rsid w:val="009F3FFA"/>
    <w:rsid w:val="009F53BB"/>
    <w:rsid w:val="00A01008"/>
    <w:rsid w:val="00A01287"/>
    <w:rsid w:val="00A03C46"/>
    <w:rsid w:val="00A05528"/>
    <w:rsid w:val="00A055E0"/>
    <w:rsid w:val="00A05FCC"/>
    <w:rsid w:val="00A061F2"/>
    <w:rsid w:val="00A1002A"/>
    <w:rsid w:val="00A116F4"/>
    <w:rsid w:val="00A11B73"/>
    <w:rsid w:val="00A12DA7"/>
    <w:rsid w:val="00A14501"/>
    <w:rsid w:val="00A14D2B"/>
    <w:rsid w:val="00A3598B"/>
    <w:rsid w:val="00A45C6C"/>
    <w:rsid w:val="00A4623F"/>
    <w:rsid w:val="00A467EC"/>
    <w:rsid w:val="00A46A26"/>
    <w:rsid w:val="00A517DD"/>
    <w:rsid w:val="00A52B65"/>
    <w:rsid w:val="00A56216"/>
    <w:rsid w:val="00A60874"/>
    <w:rsid w:val="00A64ADE"/>
    <w:rsid w:val="00A65125"/>
    <w:rsid w:val="00A70587"/>
    <w:rsid w:val="00A72B6D"/>
    <w:rsid w:val="00A77D68"/>
    <w:rsid w:val="00A82521"/>
    <w:rsid w:val="00A831A1"/>
    <w:rsid w:val="00A8347E"/>
    <w:rsid w:val="00A84A56"/>
    <w:rsid w:val="00A979B5"/>
    <w:rsid w:val="00A97D25"/>
    <w:rsid w:val="00AA15DB"/>
    <w:rsid w:val="00AA252D"/>
    <w:rsid w:val="00AB1BEE"/>
    <w:rsid w:val="00AB1E6C"/>
    <w:rsid w:val="00AB2AC0"/>
    <w:rsid w:val="00AB5768"/>
    <w:rsid w:val="00AB59FD"/>
    <w:rsid w:val="00AB5F2B"/>
    <w:rsid w:val="00AC1252"/>
    <w:rsid w:val="00AC3497"/>
    <w:rsid w:val="00AD24E9"/>
    <w:rsid w:val="00AD6280"/>
    <w:rsid w:val="00AE1C3A"/>
    <w:rsid w:val="00AE48A4"/>
    <w:rsid w:val="00AE553A"/>
    <w:rsid w:val="00AE5887"/>
    <w:rsid w:val="00AF58EC"/>
    <w:rsid w:val="00AF6292"/>
    <w:rsid w:val="00B1697F"/>
    <w:rsid w:val="00B22925"/>
    <w:rsid w:val="00B26B1A"/>
    <w:rsid w:val="00B31380"/>
    <w:rsid w:val="00B32EC2"/>
    <w:rsid w:val="00B3463D"/>
    <w:rsid w:val="00B34AFB"/>
    <w:rsid w:val="00B364E1"/>
    <w:rsid w:val="00B36A0B"/>
    <w:rsid w:val="00B36B5E"/>
    <w:rsid w:val="00B40C50"/>
    <w:rsid w:val="00B42A29"/>
    <w:rsid w:val="00B506DE"/>
    <w:rsid w:val="00B53972"/>
    <w:rsid w:val="00B6127C"/>
    <w:rsid w:val="00B61B10"/>
    <w:rsid w:val="00B64F5D"/>
    <w:rsid w:val="00B705CD"/>
    <w:rsid w:val="00B711B3"/>
    <w:rsid w:val="00B76194"/>
    <w:rsid w:val="00B77737"/>
    <w:rsid w:val="00B823A9"/>
    <w:rsid w:val="00B82431"/>
    <w:rsid w:val="00B831B0"/>
    <w:rsid w:val="00B83D50"/>
    <w:rsid w:val="00B85CE7"/>
    <w:rsid w:val="00B86804"/>
    <w:rsid w:val="00B90D14"/>
    <w:rsid w:val="00B92A9B"/>
    <w:rsid w:val="00B93746"/>
    <w:rsid w:val="00B94A42"/>
    <w:rsid w:val="00B96875"/>
    <w:rsid w:val="00BA017E"/>
    <w:rsid w:val="00BA34F9"/>
    <w:rsid w:val="00BA69C6"/>
    <w:rsid w:val="00BB051E"/>
    <w:rsid w:val="00BB1512"/>
    <w:rsid w:val="00BB739D"/>
    <w:rsid w:val="00BC020E"/>
    <w:rsid w:val="00BC3156"/>
    <w:rsid w:val="00BC3EE8"/>
    <w:rsid w:val="00BC506E"/>
    <w:rsid w:val="00BC5957"/>
    <w:rsid w:val="00BC5E85"/>
    <w:rsid w:val="00BD030F"/>
    <w:rsid w:val="00BD3787"/>
    <w:rsid w:val="00BE0451"/>
    <w:rsid w:val="00BE1ED9"/>
    <w:rsid w:val="00BE4886"/>
    <w:rsid w:val="00BE60F3"/>
    <w:rsid w:val="00BE6589"/>
    <w:rsid w:val="00BE7D9C"/>
    <w:rsid w:val="00BE7E69"/>
    <w:rsid w:val="00BF2037"/>
    <w:rsid w:val="00BF476D"/>
    <w:rsid w:val="00BF570D"/>
    <w:rsid w:val="00BF7317"/>
    <w:rsid w:val="00C00EF2"/>
    <w:rsid w:val="00C01A7C"/>
    <w:rsid w:val="00C1000F"/>
    <w:rsid w:val="00C10B1A"/>
    <w:rsid w:val="00C112C6"/>
    <w:rsid w:val="00C12C42"/>
    <w:rsid w:val="00C156B3"/>
    <w:rsid w:val="00C17392"/>
    <w:rsid w:val="00C2375E"/>
    <w:rsid w:val="00C327F9"/>
    <w:rsid w:val="00C34C93"/>
    <w:rsid w:val="00C35A42"/>
    <w:rsid w:val="00C37A1B"/>
    <w:rsid w:val="00C4636D"/>
    <w:rsid w:val="00C50095"/>
    <w:rsid w:val="00C621F3"/>
    <w:rsid w:val="00C625E8"/>
    <w:rsid w:val="00C63166"/>
    <w:rsid w:val="00C63FD6"/>
    <w:rsid w:val="00C646B6"/>
    <w:rsid w:val="00C65162"/>
    <w:rsid w:val="00C671B9"/>
    <w:rsid w:val="00C71883"/>
    <w:rsid w:val="00C726C2"/>
    <w:rsid w:val="00C72DB9"/>
    <w:rsid w:val="00C74199"/>
    <w:rsid w:val="00C771F0"/>
    <w:rsid w:val="00C80C49"/>
    <w:rsid w:val="00C81174"/>
    <w:rsid w:val="00C8133F"/>
    <w:rsid w:val="00C82B34"/>
    <w:rsid w:val="00C91234"/>
    <w:rsid w:val="00C928FF"/>
    <w:rsid w:val="00C93F3B"/>
    <w:rsid w:val="00CA4F56"/>
    <w:rsid w:val="00CA6920"/>
    <w:rsid w:val="00CA787B"/>
    <w:rsid w:val="00CB3A57"/>
    <w:rsid w:val="00CB41B8"/>
    <w:rsid w:val="00CB46E8"/>
    <w:rsid w:val="00CB5D5B"/>
    <w:rsid w:val="00CB6AB5"/>
    <w:rsid w:val="00CC6447"/>
    <w:rsid w:val="00CC77F5"/>
    <w:rsid w:val="00CD2AD4"/>
    <w:rsid w:val="00CD336D"/>
    <w:rsid w:val="00CE6397"/>
    <w:rsid w:val="00CE76A8"/>
    <w:rsid w:val="00CF3B94"/>
    <w:rsid w:val="00CF6320"/>
    <w:rsid w:val="00D045BC"/>
    <w:rsid w:val="00D07A7C"/>
    <w:rsid w:val="00D12E14"/>
    <w:rsid w:val="00D13AA0"/>
    <w:rsid w:val="00D1431F"/>
    <w:rsid w:val="00D21B94"/>
    <w:rsid w:val="00D33069"/>
    <w:rsid w:val="00D34CC5"/>
    <w:rsid w:val="00D359C8"/>
    <w:rsid w:val="00D35C9B"/>
    <w:rsid w:val="00D40BD1"/>
    <w:rsid w:val="00D4361D"/>
    <w:rsid w:val="00D438F9"/>
    <w:rsid w:val="00D4766D"/>
    <w:rsid w:val="00D50479"/>
    <w:rsid w:val="00D50658"/>
    <w:rsid w:val="00D52CA9"/>
    <w:rsid w:val="00D53B62"/>
    <w:rsid w:val="00D54994"/>
    <w:rsid w:val="00D569F3"/>
    <w:rsid w:val="00D57051"/>
    <w:rsid w:val="00D5741D"/>
    <w:rsid w:val="00D57B95"/>
    <w:rsid w:val="00D6237F"/>
    <w:rsid w:val="00D629D9"/>
    <w:rsid w:val="00D6370E"/>
    <w:rsid w:val="00D637E6"/>
    <w:rsid w:val="00D639D4"/>
    <w:rsid w:val="00D649C4"/>
    <w:rsid w:val="00D70F18"/>
    <w:rsid w:val="00D71AF3"/>
    <w:rsid w:val="00D8047A"/>
    <w:rsid w:val="00D810F1"/>
    <w:rsid w:val="00D81C1D"/>
    <w:rsid w:val="00D82F27"/>
    <w:rsid w:val="00D838EB"/>
    <w:rsid w:val="00D8479F"/>
    <w:rsid w:val="00D87626"/>
    <w:rsid w:val="00D87CDB"/>
    <w:rsid w:val="00D9445A"/>
    <w:rsid w:val="00D954A7"/>
    <w:rsid w:val="00D97AE1"/>
    <w:rsid w:val="00DA12DE"/>
    <w:rsid w:val="00DA1BD3"/>
    <w:rsid w:val="00DA594C"/>
    <w:rsid w:val="00DA6AD3"/>
    <w:rsid w:val="00DB0074"/>
    <w:rsid w:val="00DB0C7F"/>
    <w:rsid w:val="00DB0E4B"/>
    <w:rsid w:val="00DB30FE"/>
    <w:rsid w:val="00DB6A07"/>
    <w:rsid w:val="00DB6FF6"/>
    <w:rsid w:val="00DB77E1"/>
    <w:rsid w:val="00DC0408"/>
    <w:rsid w:val="00DC3E76"/>
    <w:rsid w:val="00DC57FE"/>
    <w:rsid w:val="00DC6AEE"/>
    <w:rsid w:val="00DC7AD6"/>
    <w:rsid w:val="00DC7B50"/>
    <w:rsid w:val="00DD1158"/>
    <w:rsid w:val="00DD1681"/>
    <w:rsid w:val="00DD39EB"/>
    <w:rsid w:val="00DD5492"/>
    <w:rsid w:val="00DE2AC0"/>
    <w:rsid w:val="00DE3171"/>
    <w:rsid w:val="00DE36FE"/>
    <w:rsid w:val="00DE66B6"/>
    <w:rsid w:val="00DE717C"/>
    <w:rsid w:val="00DF11C6"/>
    <w:rsid w:val="00DF3884"/>
    <w:rsid w:val="00DF4F3E"/>
    <w:rsid w:val="00DF6B28"/>
    <w:rsid w:val="00E03E86"/>
    <w:rsid w:val="00E114C3"/>
    <w:rsid w:val="00E1728E"/>
    <w:rsid w:val="00E172DA"/>
    <w:rsid w:val="00E23D74"/>
    <w:rsid w:val="00E24787"/>
    <w:rsid w:val="00E43CC4"/>
    <w:rsid w:val="00E453CB"/>
    <w:rsid w:val="00E52A5D"/>
    <w:rsid w:val="00E55FB9"/>
    <w:rsid w:val="00E57AD6"/>
    <w:rsid w:val="00E64AD1"/>
    <w:rsid w:val="00E6616E"/>
    <w:rsid w:val="00E668CC"/>
    <w:rsid w:val="00E7539B"/>
    <w:rsid w:val="00E755AD"/>
    <w:rsid w:val="00E760C8"/>
    <w:rsid w:val="00E83A3B"/>
    <w:rsid w:val="00E85741"/>
    <w:rsid w:val="00E8630D"/>
    <w:rsid w:val="00E87259"/>
    <w:rsid w:val="00E91F5E"/>
    <w:rsid w:val="00E94DD0"/>
    <w:rsid w:val="00E95DF5"/>
    <w:rsid w:val="00E95FE1"/>
    <w:rsid w:val="00E962BC"/>
    <w:rsid w:val="00EA0B8A"/>
    <w:rsid w:val="00EA391A"/>
    <w:rsid w:val="00EA4439"/>
    <w:rsid w:val="00EA451B"/>
    <w:rsid w:val="00EA6B77"/>
    <w:rsid w:val="00EB4E1A"/>
    <w:rsid w:val="00EB6D53"/>
    <w:rsid w:val="00EC49B7"/>
    <w:rsid w:val="00EC6332"/>
    <w:rsid w:val="00ED2BEB"/>
    <w:rsid w:val="00ED5F8E"/>
    <w:rsid w:val="00ED6088"/>
    <w:rsid w:val="00EE29E4"/>
    <w:rsid w:val="00EE2AAF"/>
    <w:rsid w:val="00EE7560"/>
    <w:rsid w:val="00EF4456"/>
    <w:rsid w:val="00EF7BEE"/>
    <w:rsid w:val="00F0128E"/>
    <w:rsid w:val="00F019DE"/>
    <w:rsid w:val="00F0253A"/>
    <w:rsid w:val="00F02D05"/>
    <w:rsid w:val="00F05F8A"/>
    <w:rsid w:val="00F0768D"/>
    <w:rsid w:val="00F079EE"/>
    <w:rsid w:val="00F14568"/>
    <w:rsid w:val="00F20CFC"/>
    <w:rsid w:val="00F20F37"/>
    <w:rsid w:val="00F223E5"/>
    <w:rsid w:val="00F263F4"/>
    <w:rsid w:val="00F3196C"/>
    <w:rsid w:val="00F340AF"/>
    <w:rsid w:val="00F36E5A"/>
    <w:rsid w:val="00F4234E"/>
    <w:rsid w:val="00F42C20"/>
    <w:rsid w:val="00F454DF"/>
    <w:rsid w:val="00F46912"/>
    <w:rsid w:val="00F46E11"/>
    <w:rsid w:val="00F615F4"/>
    <w:rsid w:val="00F623A6"/>
    <w:rsid w:val="00F63D5B"/>
    <w:rsid w:val="00F649FC"/>
    <w:rsid w:val="00F70060"/>
    <w:rsid w:val="00F70CB8"/>
    <w:rsid w:val="00F70EE5"/>
    <w:rsid w:val="00F7595C"/>
    <w:rsid w:val="00F76544"/>
    <w:rsid w:val="00F77893"/>
    <w:rsid w:val="00F850D5"/>
    <w:rsid w:val="00F850F1"/>
    <w:rsid w:val="00F8552E"/>
    <w:rsid w:val="00FA10B4"/>
    <w:rsid w:val="00FA14D0"/>
    <w:rsid w:val="00FA2C0A"/>
    <w:rsid w:val="00FA3AC2"/>
    <w:rsid w:val="00FA4709"/>
    <w:rsid w:val="00FA47F6"/>
    <w:rsid w:val="00FB00B1"/>
    <w:rsid w:val="00FB03E3"/>
    <w:rsid w:val="00FB2A78"/>
    <w:rsid w:val="00FB4F91"/>
    <w:rsid w:val="00FB50A7"/>
    <w:rsid w:val="00FC1541"/>
    <w:rsid w:val="00FC1E22"/>
    <w:rsid w:val="00FC2DB1"/>
    <w:rsid w:val="00FC34EC"/>
    <w:rsid w:val="00FC3ECF"/>
    <w:rsid w:val="00FC4F2C"/>
    <w:rsid w:val="00FD1F6E"/>
    <w:rsid w:val="00FD6F63"/>
    <w:rsid w:val="00FE3833"/>
    <w:rsid w:val="00FF06AA"/>
    <w:rsid w:val="00FF1473"/>
    <w:rsid w:val="00FF297A"/>
    <w:rsid w:val="00FF51FA"/>
    <w:rsid w:val="00FF5CEF"/>
    <w:rsid w:val="028EDB04"/>
    <w:rsid w:val="02E64C84"/>
    <w:rsid w:val="0331B50A"/>
    <w:rsid w:val="0443BF1B"/>
    <w:rsid w:val="0493CE97"/>
    <w:rsid w:val="04AF6A0B"/>
    <w:rsid w:val="04B39732"/>
    <w:rsid w:val="04B707ED"/>
    <w:rsid w:val="04EAF475"/>
    <w:rsid w:val="0548E377"/>
    <w:rsid w:val="06FEE724"/>
    <w:rsid w:val="0704F7CC"/>
    <w:rsid w:val="070BE563"/>
    <w:rsid w:val="0749A037"/>
    <w:rsid w:val="07B2B6FC"/>
    <w:rsid w:val="07DF621A"/>
    <w:rsid w:val="07F42B70"/>
    <w:rsid w:val="081D9A22"/>
    <w:rsid w:val="095D0DE9"/>
    <w:rsid w:val="0963D5F8"/>
    <w:rsid w:val="0A45AFDD"/>
    <w:rsid w:val="0AAEF814"/>
    <w:rsid w:val="0B7064D6"/>
    <w:rsid w:val="0B72E842"/>
    <w:rsid w:val="0BA77267"/>
    <w:rsid w:val="0C2A61A1"/>
    <w:rsid w:val="0D363F77"/>
    <w:rsid w:val="0D6B9A00"/>
    <w:rsid w:val="0D8775B5"/>
    <w:rsid w:val="0E4EBE80"/>
    <w:rsid w:val="0E77990B"/>
    <w:rsid w:val="0EFF2116"/>
    <w:rsid w:val="0F2640EE"/>
    <w:rsid w:val="0FAAE3E6"/>
    <w:rsid w:val="11C29137"/>
    <w:rsid w:val="11E62A5D"/>
    <w:rsid w:val="1207B45F"/>
    <w:rsid w:val="1293A2EB"/>
    <w:rsid w:val="12BADBF4"/>
    <w:rsid w:val="139484C8"/>
    <w:rsid w:val="13F14A6E"/>
    <w:rsid w:val="14150972"/>
    <w:rsid w:val="14438ABD"/>
    <w:rsid w:val="14B7F0AD"/>
    <w:rsid w:val="15256053"/>
    <w:rsid w:val="15691854"/>
    <w:rsid w:val="16068540"/>
    <w:rsid w:val="1607DE27"/>
    <w:rsid w:val="16D5786D"/>
    <w:rsid w:val="172C0F2B"/>
    <w:rsid w:val="189D0991"/>
    <w:rsid w:val="191ECFD3"/>
    <w:rsid w:val="1921EE48"/>
    <w:rsid w:val="1A3FF1A4"/>
    <w:rsid w:val="1A50ABD1"/>
    <w:rsid w:val="1B1B865E"/>
    <w:rsid w:val="1C7EF6B1"/>
    <w:rsid w:val="1CE35BED"/>
    <w:rsid w:val="1DD8CB8A"/>
    <w:rsid w:val="1E1652A7"/>
    <w:rsid w:val="1E40DF58"/>
    <w:rsid w:val="1E570371"/>
    <w:rsid w:val="1F4B504E"/>
    <w:rsid w:val="1F577147"/>
    <w:rsid w:val="1F92C571"/>
    <w:rsid w:val="201B8E3A"/>
    <w:rsid w:val="2036D926"/>
    <w:rsid w:val="21652CD5"/>
    <w:rsid w:val="217545AE"/>
    <w:rsid w:val="21DE5F64"/>
    <w:rsid w:val="22B21887"/>
    <w:rsid w:val="22D4F72C"/>
    <w:rsid w:val="22EB031E"/>
    <w:rsid w:val="230FFF95"/>
    <w:rsid w:val="2369CED6"/>
    <w:rsid w:val="23DBC5C7"/>
    <w:rsid w:val="23DFF0A4"/>
    <w:rsid w:val="2463B34A"/>
    <w:rsid w:val="251DB5D2"/>
    <w:rsid w:val="25AC51E7"/>
    <w:rsid w:val="27098784"/>
    <w:rsid w:val="272A2371"/>
    <w:rsid w:val="27448F84"/>
    <w:rsid w:val="2767FE8F"/>
    <w:rsid w:val="27868275"/>
    <w:rsid w:val="28C26A05"/>
    <w:rsid w:val="28FAE5F3"/>
    <w:rsid w:val="29017190"/>
    <w:rsid w:val="299BCA12"/>
    <w:rsid w:val="29CAE1AA"/>
    <w:rsid w:val="2B9D8F16"/>
    <w:rsid w:val="2BDDECD8"/>
    <w:rsid w:val="2BF03B18"/>
    <w:rsid w:val="2C3274CB"/>
    <w:rsid w:val="2C953A48"/>
    <w:rsid w:val="2CB18E33"/>
    <w:rsid w:val="2CF4DA8E"/>
    <w:rsid w:val="2D12AF77"/>
    <w:rsid w:val="2E0F1626"/>
    <w:rsid w:val="2E36DFF9"/>
    <w:rsid w:val="2E6FDB8F"/>
    <w:rsid w:val="2EAEBAC8"/>
    <w:rsid w:val="2EB39701"/>
    <w:rsid w:val="2EDB8B94"/>
    <w:rsid w:val="2F7C6D1F"/>
    <w:rsid w:val="30272A16"/>
    <w:rsid w:val="303AFCD4"/>
    <w:rsid w:val="3108CEBB"/>
    <w:rsid w:val="314C8259"/>
    <w:rsid w:val="31BD7C6B"/>
    <w:rsid w:val="336D5A10"/>
    <w:rsid w:val="33B55F09"/>
    <w:rsid w:val="34E0494A"/>
    <w:rsid w:val="34EC5CB7"/>
    <w:rsid w:val="352DEB89"/>
    <w:rsid w:val="356987B5"/>
    <w:rsid w:val="35A4F9F0"/>
    <w:rsid w:val="361B1A9A"/>
    <w:rsid w:val="3696ECEA"/>
    <w:rsid w:val="36A7F39C"/>
    <w:rsid w:val="373C787D"/>
    <w:rsid w:val="376488C1"/>
    <w:rsid w:val="378AB328"/>
    <w:rsid w:val="3885C12B"/>
    <w:rsid w:val="3930AF0D"/>
    <w:rsid w:val="3932F84D"/>
    <w:rsid w:val="39710774"/>
    <w:rsid w:val="39968532"/>
    <w:rsid w:val="399A7D0E"/>
    <w:rsid w:val="3A293FE9"/>
    <w:rsid w:val="3A8A9675"/>
    <w:rsid w:val="3AC2AF95"/>
    <w:rsid w:val="3B08EBF3"/>
    <w:rsid w:val="3B7EA62D"/>
    <w:rsid w:val="3C23E5A3"/>
    <w:rsid w:val="3CB3ADF7"/>
    <w:rsid w:val="3CB9E9C9"/>
    <w:rsid w:val="3DA7D8FF"/>
    <w:rsid w:val="3DE44419"/>
    <w:rsid w:val="3DF2EB88"/>
    <w:rsid w:val="3E25159F"/>
    <w:rsid w:val="3E68EC87"/>
    <w:rsid w:val="3E849559"/>
    <w:rsid w:val="3F2EEB41"/>
    <w:rsid w:val="3F5E0F33"/>
    <w:rsid w:val="40397F63"/>
    <w:rsid w:val="404E1AC8"/>
    <w:rsid w:val="40AF3B2B"/>
    <w:rsid w:val="419051BE"/>
    <w:rsid w:val="41B4F5B4"/>
    <w:rsid w:val="41EA6965"/>
    <w:rsid w:val="41F2B14C"/>
    <w:rsid w:val="431D369A"/>
    <w:rsid w:val="4324114C"/>
    <w:rsid w:val="439BE05B"/>
    <w:rsid w:val="450BEA21"/>
    <w:rsid w:val="45FC7339"/>
    <w:rsid w:val="4637AE87"/>
    <w:rsid w:val="4695373C"/>
    <w:rsid w:val="4778D610"/>
    <w:rsid w:val="4824713E"/>
    <w:rsid w:val="486260BA"/>
    <w:rsid w:val="48F8D9BA"/>
    <w:rsid w:val="49858CE3"/>
    <w:rsid w:val="498F2FF0"/>
    <w:rsid w:val="49911EB8"/>
    <w:rsid w:val="4A19247C"/>
    <w:rsid w:val="4A8AEDD9"/>
    <w:rsid w:val="4B1056A7"/>
    <w:rsid w:val="4B71C3DA"/>
    <w:rsid w:val="4B8749D4"/>
    <w:rsid w:val="4D19CB9E"/>
    <w:rsid w:val="4D6D3549"/>
    <w:rsid w:val="4DA9F8C3"/>
    <w:rsid w:val="4DD49016"/>
    <w:rsid w:val="4DEB239C"/>
    <w:rsid w:val="4E9EAF2A"/>
    <w:rsid w:val="4ECC6DF1"/>
    <w:rsid w:val="4ECE83F3"/>
    <w:rsid w:val="4ED77EAB"/>
    <w:rsid w:val="4F2227F6"/>
    <w:rsid w:val="4FC12458"/>
    <w:rsid w:val="5056A214"/>
    <w:rsid w:val="50B482E1"/>
    <w:rsid w:val="5182D8D6"/>
    <w:rsid w:val="51A01B0B"/>
    <w:rsid w:val="51DCC2E9"/>
    <w:rsid w:val="528F281B"/>
    <w:rsid w:val="5304499B"/>
    <w:rsid w:val="53B20B57"/>
    <w:rsid w:val="53E6A507"/>
    <w:rsid w:val="54F0FB73"/>
    <w:rsid w:val="555F3588"/>
    <w:rsid w:val="55CDFE32"/>
    <w:rsid w:val="560060C3"/>
    <w:rsid w:val="5609C235"/>
    <w:rsid w:val="5642DDC2"/>
    <w:rsid w:val="565E49D3"/>
    <w:rsid w:val="577C82FA"/>
    <w:rsid w:val="5795C14F"/>
    <w:rsid w:val="57A83974"/>
    <w:rsid w:val="57E2EB0A"/>
    <w:rsid w:val="5870EA1D"/>
    <w:rsid w:val="5992FAD4"/>
    <w:rsid w:val="59A1C0E8"/>
    <w:rsid w:val="59A515F0"/>
    <w:rsid w:val="5A1CC21A"/>
    <w:rsid w:val="5AAFEFA3"/>
    <w:rsid w:val="5ABC2AB2"/>
    <w:rsid w:val="5ACB8FFB"/>
    <w:rsid w:val="5AF214DD"/>
    <w:rsid w:val="5C0C657A"/>
    <w:rsid w:val="5CCBD6A5"/>
    <w:rsid w:val="5D82268F"/>
    <w:rsid w:val="5DEF5B40"/>
    <w:rsid w:val="5E322713"/>
    <w:rsid w:val="5EE82FCA"/>
    <w:rsid w:val="5FC09F7D"/>
    <w:rsid w:val="60173BB3"/>
    <w:rsid w:val="60409BF7"/>
    <w:rsid w:val="609575A0"/>
    <w:rsid w:val="61BD8B28"/>
    <w:rsid w:val="6220E5FD"/>
    <w:rsid w:val="6233D5F5"/>
    <w:rsid w:val="6272A645"/>
    <w:rsid w:val="62B91190"/>
    <w:rsid w:val="62C29D6B"/>
    <w:rsid w:val="631860A9"/>
    <w:rsid w:val="631950DE"/>
    <w:rsid w:val="645852CC"/>
    <w:rsid w:val="649BB6F4"/>
    <w:rsid w:val="65F0B252"/>
    <w:rsid w:val="66447D78"/>
    <w:rsid w:val="66780E10"/>
    <w:rsid w:val="67113F98"/>
    <w:rsid w:val="67589E4A"/>
    <w:rsid w:val="6775EC9A"/>
    <w:rsid w:val="67904F8B"/>
    <w:rsid w:val="679CF71C"/>
    <w:rsid w:val="67E8DB97"/>
    <w:rsid w:val="67F1D19F"/>
    <w:rsid w:val="68452028"/>
    <w:rsid w:val="686B0F49"/>
    <w:rsid w:val="68E3A2DC"/>
    <w:rsid w:val="69968E7C"/>
    <w:rsid w:val="69B4316A"/>
    <w:rsid w:val="69F69D0A"/>
    <w:rsid w:val="6A096010"/>
    <w:rsid w:val="6A5DC097"/>
    <w:rsid w:val="6AC60D99"/>
    <w:rsid w:val="6B4A2AAF"/>
    <w:rsid w:val="6C5B902A"/>
    <w:rsid w:val="6C6A0A1D"/>
    <w:rsid w:val="6C6ACF7F"/>
    <w:rsid w:val="6C8375AC"/>
    <w:rsid w:val="6CEE98FF"/>
    <w:rsid w:val="6D6FA51A"/>
    <w:rsid w:val="6DDF6FA5"/>
    <w:rsid w:val="6F0969EB"/>
    <w:rsid w:val="6FFD7505"/>
    <w:rsid w:val="707C3E08"/>
    <w:rsid w:val="708BFE96"/>
    <w:rsid w:val="70B7AC29"/>
    <w:rsid w:val="71D34A4B"/>
    <w:rsid w:val="72375F3F"/>
    <w:rsid w:val="738D6D0D"/>
    <w:rsid w:val="73CB6CE2"/>
    <w:rsid w:val="745FC102"/>
    <w:rsid w:val="75069412"/>
    <w:rsid w:val="7521077E"/>
    <w:rsid w:val="75367525"/>
    <w:rsid w:val="756E16BD"/>
    <w:rsid w:val="758AAFA7"/>
    <w:rsid w:val="76979B7A"/>
    <w:rsid w:val="77446DB7"/>
    <w:rsid w:val="77751183"/>
    <w:rsid w:val="78C42049"/>
    <w:rsid w:val="78EDB417"/>
    <w:rsid w:val="7907D8EE"/>
    <w:rsid w:val="79466464"/>
    <w:rsid w:val="794847C1"/>
    <w:rsid w:val="7999C316"/>
    <w:rsid w:val="79B4ABB2"/>
    <w:rsid w:val="79F0B414"/>
    <w:rsid w:val="7AE9F637"/>
    <w:rsid w:val="7B880D8A"/>
    <w:rsid w:val="7B8A894E"/>
    <w:rsid w:val="7BAE4B96"/>
    <w:rsid w:val="7C2AEB34"/>
    <w:rsid w:val="7C477AA2"/>
    <w:rsid w:val="7C6945FC"/>
    <w:rsid w:val="7CCE1044"/>
    <w:rsid w:val="7CDA7F53"/>
    <w:rsid w:val="7D2D2B39"/>
    <w:rsid w:val="7D436BCF"/>
    <w:rsid w:val="7E11E733"/>
    <w:rsid w:val="7FB4AF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D1B24"/>
  <w15:chartTrackingRefBased/>
  <w15:docId w15:val="{A3138756-5030-4115-997C-17886EC5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F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C1F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2B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1,Bulletr List Paragraph,List Paragraph2,List Paragraph21,Párrafo de lista1,Parágrafo da Lista1,リスト段落1,Plan,Dot pt,F5 List Paragraph,????,L,3"/>
    <w:basedOn w:val="Normal"/>
    <w:link w:val="ListParagraphChar"/>
    <w:uiPriority w:val="34"/>
    <w:qFormat/>
    <w:rsid w:val="00452CDD"/>
    <w:pPr>
      <w:ind w:left="720"/>
      <w:contextualSpacing/>
    </w:pPr>
  </w:style>
  <w:style w:type="table" w:styleId="TableGrid">
    <w:name w:val="Table Grid"/>
    <w:basedOn w:val="TableNormal"/>
    <w:uiPriority w:val="39"/>
    <w:rsid w:val="007B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883"/>
  </w:style>
  <w:style w:type="paragraph" w:styleId="Footer">
    <w:name w:val="footer"/>
    <w:basedOn w:val="Normal"/>
    <w:link w:val="FooterChar"/>
    <w:uiPriority w:val="99"/>
    <w:unhideWhenUsed/>
    <w:rsid w:val="00C71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883"/>
  </w:style>
  <w:style w:type="paragraph" w:styleId="NormalWeb">
    <w:name w:val="Normal (Web)"/>
    <w:basedOn w:val="Normal"/>
    <w:uiPriority w:val="99"/>
    <w:semiHidden/>
    <w:unhideWhenUsed/>
    <w:rsid w:val="00C718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1883"/>
    <w:rPr>
      <w:color w:val="0000FF"/>
      <w:u w:val="single"/>
    </w:rPr>
  </w:style>
  <w:style w:type="character" w:styleId="UnresolvedMention">
    <w:name w:val="Unresolved Mention"/>
    <w:basedOn w:val="DefaultParagraphFont"/>
    <w:uiPriority w:val="99"/>
    <w:semiHidden/>
    <w:unhideWhenUsed/>
    <w:rsid w:val="00D40BD1"/>
    <w:rPr>
      <w:color w:val="605E5C"/>
      <w:shd w:val="clear" w:color="auto" w:fill="E1DFDD"/>
    </w:rPr>
  </w:style>
  <w:style w:type="character" w:styleId="CommentReference">
    <w:name w:val="annotation reference"/>
    <w:basedOn w:val="DefaultParagraphFont"/>
    <w:uiPriority w:val="99"/>
    <w:semiHidden/>
    <w:unhideWhenUsed/>
    <w:rsid w:val="00DE66B6"/>
    <w:rPr>
      <w:sz w:val="16"/>
      <w:szCs w:val="16"/>
    </w:rPr>
  </w:style>
  <w:style w:type="paragraph" w:styleId="CommentText">
    <w:name w:val="annotation text"/>
    <w:basedOn w:val="Normal"/>
    <w:link w:val="CommentTextChar"/>
    <w:uiPriority w:val="99"/>
    <w:unhideWhenUsed/>
    <w:rsid w:val="00DE66B6"/>
    <w:pPr>
      <w:spacing w:line="240" w:lineRule="auto"/>
    </w:pPr>
    <w:rPr>
      <w:sz w:val="20"/>
      <w:szCs w:val="20"/>
    </w:rPr>
  </w:style>
  <w:style w:type="character" w:customStyle="1" w:styleId="CommentTextChar">
    <w:name w:val="Comment Text Char"/>
    <w:basedOn w:val="DefaultParagraphFont"/>
    <w:link w:val="CommentText"/>
    <w:uiPriority w:val="99"/>
    <w:rsid w:val="00DE66B6"/>
    <w:rPr>
      <w:sz w:val="20"/>
      <w:szCs w:val="20"/>
    </w:rPr>
  </w:style>
  <w:style w:type="paragraph" w:styleId="CommentSubject">
    <w:name w:val="annotation subject"/>
    <w:basedOn w:val="CommentText"/>
    <w:next w:val="CommentText"/>
    <w:link w:val="CommentSubjectChar"/>
    <w:uiPriority w:val="99"/>
    <w:semiHidden/>
    <w:unhideWhenUsed/>
    <w:rsid w:val="00DE66B6"/>
    <w:rPr>
      <w:b/>
      <w:bCs/>
    </w:rPr>
  </w:style>
  <w:style w:type="character" w:customStyle="1" w:styleId="CommentSubjectChar">
    <w:name w:val="Comment Subject Char"/>
    <w:basedOn w:val="CommentTextChar"/>
    <w:link w:val="CommentSubject"/>
    <w:uiPriority w:val="99"/>
    <w:semiHidden/>
    <w:rsid w:val="00DE66B6"/>
    <w:rPr>
      <w:b/>
      <w:bCs/>
      <w:sz w:val="20"/>
      <w:szCs w:val="20"/>
    </w:rPr>
  </w:style>
  <w:style w:type="character" w:customStyle="1" w:styleId="Heading1Char">
    <w:name w:val="Heading 1 Char"/>
    <w:basedOn w:val="DefaultParagraphFont"/>
    <w:link w:val="Heading1"/>
    <w:uiPriority w:val="9"/>
    <w:rsid w:val="009C1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C1F22"/>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9C1F22"/>
    <w:pPr>
      <w:spacing w:after="0" w:line="240" w:lineRule="auto"/>
      <w:jc w:val="center"/>
    </w:pPr>
    <w:rPr>
      <w:rFonts w:ascii="Vineta BT" w:eastAsia="Times New Roman" w:hAnsi="Vineta BT" w:cs="Times New Roman"/>
      <w:b/>
      <w:color w:val="000000"/>
      <w:sz w:val="28"/>
      <w:szCs w:val="28"/>
      <w:u w:val="wavyDouble"/>
      <w:lang w:val="en-GB" w:eastAsia="x-none"/>
    </w:rPr>
  </w:style>
  <w:style w:type="character" w:customStyle="1" w:styleId="TitleChar">
    <w:name w:val="Title Char"/>
    <w:basedOn w:val="DefaultParagraphFont"/>
    <w:link w:val="Title"/>
    <w:rsid w:val="009C1F22"/>
    <w:rPr>
      <w:rFonts w:ascii="Vineta BT" w:eastAsia="Times New Roman" w:hAnsi="Vineta BT" w:cs="Times New Roman"/>
      <w:b/>
      <w:color w:val="000000"/>
      <w:sz w:val="28"/>
      <w:szCs w:val="28"/>
      <w:u w:val="wavyDouble"/>
      <w:lang w:val="en-GB" w:eastAsia="x-none"/>
    </w:rPr>
  </w:style>
  <w:style w:type="paragraph" w:styleId="FootnoteText">
    <w:name w:val="footnote text"/>
    <w:aliases w:val="Footnote Text Char1 Char,Footnote Text Char Char Char1,Footnote Text Char1 Char Char Char1,Footnote Text Char1 Char1 Char,Footnote Text Char Char Char Char,Footnote Text Char1 Char Char Char Char,fn,ft,Footnote Text2,ft2,f, Char"/>
    <w:basedOn w:val="Normal"/>
    <w:link w:val="FootnoteTextChar"/>
    <w:uiPriority w:val="99"/>
    <w:unhideWhenUsed/>
    <w:qFormat/>
    <w:rsid w:val="000741F2"/>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fn Char"/>
    <w:basedOn w:val="DefaultParagraphFont"/>
    <w:link w:val="FootnoteText"/>
    <w:uiPriority w:val="99"/>
    <w:rsid w:val="000741F2"/>
    <w:rPr>
      <w:rFonts w:ascii="Calibri" w:eastAsia="Calibri" w:hAnsi="Calibri" w:cs="Times New Roman"/>
      <w:sz w:val="20"/>
      <w:szCs w:val="20"/>
    </w:rPr>
  </w:style>
  <w:style w:type="character" w:styleId="FootnoteReference">
    <w:name w:val="footnote reference"/>
    <w:aliases w:val="16 Point,Superscript 6 Point,ftref,Footnote,BVI fnr,Normal + Font:9 Point,Superscript 3 Point Times,ftref Char Char Char Char Char Char Char Char,Footnotes refss Char Char Char Char Char Char Char Char,(NECG) Footnote Reference,Ref,R"/>
    <w:link w:val="ftrefCharCharCharCharCharCharChar"/>
    <w:uiPriority w:val="99"/>
    <w:unhideWhenUsed/>
    <w:qFormat/>
    <w:rsid w:val="000741F2"/>
    <w:rPr>
      <w:vertAlign w:val="superscript"/>
    </w:rPr>
  </w:style>
  <w:style w:type="paragraph" w:customStyle="1" w:styleId="ftrefCharCharCharCharCharCharChar">
    <w:name w:val="ftref Char Char Char Char Char Char Char"/>
    <w:aliases w:val="Footnotes refss Char Char Char Char Char Char Char, BVI fnr (文字) (文字) Char (文字) Char Char1 Char Char Char Char Char Char Char Char Char Char"/>
    <w:basedOn w:val="Normal"/>
    <w:link w:val="FootnoteReference"/>
    <w:uiPriority w:val="99"/>
    <w:rsid w:val="000741F2"/>
    <w:pPr>
      <w:spacing w:line="240" w:lineRule="exact"/>
    </w:pPr>
    <w:rPr>
      <w:vertAlign w:val="superscript"/>
    </w:rPr>
  </w:style>
  <w:style w:type="character" w:customStyle="1" w:styleId="ListParagraphChar">
    <w:name w:val="List Paragraph Char"/>
    <w:aliases w:val="Bullet List Char,FooterText Char,List Paragraph1 Char,Colorful List Accent 1 Char,numbered Char,Paragraphe de liste1 Char,列出段落1 Char,Bulletr List Paragraph Char,List Paragraph2 Char,List Paragraph21 Char,Párrafo de lista1 Char,L Char"/>
    <w:link w:val="ListParagraph"/>
    <w:uiPriority w:val="34"/>
    <w:qFormat/>
    <w:rsid w:val="000741F2"/>
  </w:style>
  <w:style w:type="paragraph" w:styleId="Revision">
    <w:name w:val="Revision"/>
    <w:hidden/>
    <w:uiPriority w:val="99"/>
    <w:semiHidden/>
    <w:rsid w:val="00353F04"/>
    <w:pPr>
      <w:spacing w:after="0" w:line="240" w:lineRule="auto"/>
    </w:pPr>
  </w:style>
  <w:style w:type="character" w:customStyle="1" w:styleId="Heading4Char">
    <w:name w:val="Heading 4 Char"/>
    <w:basedOn w:val="DefaultParagraphFont"/>
    <w:link w:val="Heading4"/>
    <w:uiPriority w:val="9"/>
    <w:semiHidden/>
    <w:rsid w:val="00ED2BEB"/>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933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325">
      <w:bodyDiv w:val="1"/>
      <w:marLeft w:val="0"/>
      <w:marRight w:val="0"/>
      <w:marTop w:val="0"/>
      <w:marBottom w:val="0"/>
      <w:divBdr>
        <w:top w:val="none" w:sz="0" w:space="0" w:color="auto"/>
        <w:left w:val="none" w:sz="0" w:space="0" w:color="auto"/>
        <w:bottom w:val="none" w:sz="0" w:space="0" w:color="auto"/>
        <w:right w:val="none" w:sz="0" w:space="0" w:color="auto"/>
      </w:divBdr>
    </w:div>
    <w:div w:id="71509454">
      <w:bodyDiv w:val="1"/>
      <w:marLeft w:val="0"/>
      <w:marRight w:val="0"/>
      <w:marTop w:val="0"/>
      <w:marBottom w:val="0"/>
      <w:divBdr>
        <w:top w:val="none" w:sz="0" w:space="0" w:color="auto"/>
        <w:left w:val="none" w:sz="0" w:space="0" w:color="auto"/>
        <w:bottom w:val="none" w:sz="0" w:space="0" w:color="auto"/>
        <w:right w:val="none" w:sz="0" w:space="0" w:color="auto"/>
      </w:divBdr>
    </w:div>
    <w:div w:id="162429284">
      <w:bodyDiv w:val="1"/>
      <w:marLeft w:val="0"/>
      <w:marRight w:val="0"/>
      <w:marTop w:val="0"/>
      <w:marBottom w:val="0"/>
      <w:divBdr>
        <w:top w:val="none" w:sz="0" w:space="0" w:color="auto"/>
        <w:left w:val="none" w:sz="0" w:space="0" w:color="auto"/>
        <w:bottom w:val="none" w:sz="0" w:space="0" w:color="auto"/>
        <w:right w:val="none" w:sz="0" w:space="0" w:color="auto"/>
      </w:divBdr>
    </w:div>
    <w:div w:id="205603315">
      <w:bodyDiv w:val="1"/>
      <w:marLeft w:val="0"/>
      <w:marRight w:val="0"/>
      <w:marTop w:val="0"/>
      <w:marBottom w:val="0"/>
      <w:divBdr>
        <w:top w:val="none" w:sz="0" w:space="0" w:color="auto"/>
        <w:left w:val="none" w:sz="0" w:space="0" w:color="auto"/>
        <w:bottom w:val="none" w:sz="0" w:space="0" w:color="auto"/>
        <w:right w:val="none" w:sz="0" w:space="0" w:color="auto"/>
      </w:divBdr>
    </w:div>
    <w:div w:id="294407680">
      <w:bodyDiv w:val="1"/>
      <w:marLeft w:val="0"/>
      <w:marRight w:val="0"/>
      <w:marTop w:val="0"/>
      <w:marBottom w:val="0"/>
      <w:divBdr>
        <w:top w:val="none" w:sz="0" w:space="0" w:color="auto"/>
        <w:left w:val="none" w:sz="0" w:space="0" w:color="auto"/>
        <w:bottom w:val="none" w:sz="0" w:space="0" w:color="auto"/>
        <w:right w:val="none" w:sz="0" w:space="0" w:color="auto"/>
      </w:divBdr>
    </w:div>
    <w:div w:id="399596470">
      <w:bodyDiv w:val="1"/>
      <w:marLeft w:val="0"/>
      <w:marRight w:val="0"/>
      <w:marTop w:val="0"/>
      <w:marBottom w:val="0"/>
      <w:divBdr>
        <w:top w:val="none" w:sz="0" w:space="0" w:color="auto"/>
        <w:left w:val="none" w:sz="0" w:space="0" w:color="auto"/>
        <w:bottom w:val="none" w:sz="0" w:space="0" w:color="auto"/>
        <w:right w:val="none" w:sz="0" w:space="0" w:color="auto"/>
      </w:divBdr>
      <w:divsChild>
        <w:div w:id="490567205">
          <w:marLeft w:val="0"/>
          <w:marRight w:val="0"/>
          <w:marTop w:val="0"/>
          <w:marBottom w:val="0"/>
          <w:divBdr>
            <w:top w:val="single" w:sz="2" w:space="0" w:color="E3E3E3"/>
            <w:left w:val="single" w:sz="2" w:space="0" w:color="E3E3E3"/>
            <w:bottom w:val="single" w:sz="2" w:space="0" w:color="E3E3E3"/>
            <w:right w:val="single" w:sz="2" w:space="0" w:color="E3E3E3"/>
          </w:divBdr>
          <w:divsChild>
            <w:div w:id="350180565">
              <w:marLeft w:val="0"/>
              <w:marRight w:val="0"/>
              <w:marTop w:val="0"/>
              <w:marBottom w:val="0"/>
              <w:divBdr>
                <w:top w:val="single" w:sz="2" w:space="0" w:color="E3E3E3"/>
                <w:left w:val="single" w:sz="2" w:space="0" w:color="E3E3E3"/>
                <w:bottom w:val="single" w:sz="2" w:space="0" w:color="E3E3E3"/>
                <w:right w:val="single" w:sz="2" w:space="0" w:color="E3E3E3"/>
              </w:divBdr>
              <w:divsChild>
                <w:div w:id="210729459">
                  <w:marLeft w:val="0"/>
                  <w:marRight w:val="0"/>
                  <w:marTop w:val="0"/>
                  <w:marBottom w:val="0"/>
                  <w:divBdr>
                    <w:top w:val="single" w:sz="2" w:space="0" w:color="E3E3E3"/>
                    <w:left w:val="single" w:sz="2" w:space="0" w:color="E3E3E3"/>
                    <w:bottom w:val="single" w:sz="2" w:space="0" w:color="E3E3E3"/>
                    <w:right w:val="single" w:sz="2" w:space="0" w:color="E3E3E3"/>
                  </w:divBdr>
                  <w:divsChild>
                    <w:div w:id="1513494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82466316">
          <w:marLeft w:val="0"/>
          <w:marRight w:val="0"/>
          <w:marTop w:val="0"/>
          <w:marBottom w:val="0"/>
          <w:divBdr>
            <w:top w:val="single" w:sz="2" w:space="0" w:color="E3E3E3"/>
            <w:left w:val="single" w:sz="2" w:space="0" w:color="E3E3E3"/>
            <w:bottom w:val="single" w:sz="2" w:space="0" w:color="E3E3E3"/>
            <w:right w:val="single" w:sz="2" w:space="0" w:color="E3E3E3"/>
          </w:divBdr>
          <w:divsChild>
            <w:div w:id="1947348827">
              <w:marLeft w:val="0"/>
              <w:marRight w:val="0"/>
              <w:marTop w:val="0"/>
              <w:marBottom w:val="0"/>
              <w:divBdr>
                <w:top w:val="single" w:sz="2" w:space="0" w:color="E3E3E3"/>
                <w:left w:val="single" w:sz="2" w:space="0" w:color="E3E3E3"/>
                <w:bottom w:val="single" w:sz="2" w:space="0" w:color="E3E3E3"/>
                <w:right w:val="single" w:sz="2" w:space="0" w:color="E3E3E3"/>
              </w:divBdr>
              <w:divsChild>
                <w:div w:id="474177949">
                  <w:marLeft w:val="0"/>
                  <w:marRight w:val="0"/>
                  <w:marTop w:val="0"/>
                  <w:marBottom w:val="0"/>
                  <w:divBdr>
                    <w:top w:val="single" w:sz="2" w:space="2" w:color="E3E3E3"/>
                    <w:left w:val="single" w:sz="2" w:space="0" w:color="E3E3E3"/>
                    <w:bottom w:val="single" w:sz="2" w:space="0" w:color="E3E3E3"/>
                    <w:right w:val="single" w:sz="2" w:space="0" w:color="E3E3E3"/>
                  </w:divBdr>
                  <w:divsChild>
                    <w:div w:id="1759475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4666708">
      <w:bodyDiv w:val="1"/>
      <w:marLeft w:val="0"/>
      <w:marRight w:val="0"/>
      <w:marTop w:val="0"/>
      <w:marBottom w:val="0"/>
      <w:divBdr>
        <w:top w:val="none" w:sz="0" w:space="0" w:color="auto"/>
        <w:left w:val="none" w:sz="0" w:space="0" w:color="auto"/>
        <w:bottom w:val="none" w:sz="0" w:space="0" w:color="auto"/>
        <w:right w:val="none" w:sz="0" w:space="0" w:color="auto"/>
      </w:divBdr>
    </w:div>
    <w:div w:id="654796250">
      <w:bodyDiv w:val="1"/>
      <w:marLeft w:val="0"/>
      <w:marRight w:val="0"/>
      <w:marTop w:val="0"/>
      <w:marBottom w:val="0"/>
      <w:divBdr>
        <w:top w:val="none" w:sz="0" w:space="0" w:color="auto"/>
        <w:left w:val="none" w:sz="0" w:space="0" w:color="auto"/>
        <w:bottom w:val="none" w:sz="0" w:space="0" w:color="auto"/>
        <w:right w:val="none" w:sz="0" w:space="0" w:color="auto"/>
      </w:divBdr>
    </w:div>
    <w:div w:id="708068625">
      <w:bodyDiv w:val="1"/>
      <w:marLeft w:val="0"/>
      <w:marRight w:val="0"/>
      <w:marTop w:val="0"/>
      <w:marBottom w:val="0"/>
      <w:divBdr>
        <w:top w:val="none" w:sz="0" w:space="0" w:color="auto"/>
        <w:left w:val="none" w:sz="0" w:space="0" w:color="auto"/>
        <w:bottom w:val="none" w:sz="0" w:space="0" w:color="auto"/>
        <w:right w:val="none" w:sz="0" w:space="0" w:color="auto"/>
      </w:divBdr>
    </w:div>
    <w:div w:id="798374989">
      <w:bodyDiv w:val="1"/>
      <w:marLeft w:val="0"/>
      <w:marRight w:val="0"/>
      <w:marTop w:val="0"/>
      <w:marBottom w:val="0"/>
      <w:divBdr>
        <w:top w:val="none" w:sz="0" w:space="0" w:color="auto"/>
        <w:left w:val="none" w:sz="0" w:space="0" w:color="auto"/>
        <w:bottom w:val="none" w:sz="0" w:space="0" w:color="auto"/>
        <w:right w:val="none" w:sz="0" w:space="0" w:color="auto"/>
      </w:divBdr>
    </w:div>
    <w:div w:id="813176295">
      <w:bodyDiv w:val="1"/>
      <w:marLeft w:val="0"/>
      <w:marRight w:val="0"/>
      <w:marTop w:val="0"/>
      <w:marBottom w:val="0"/>
      <w:divBdr>
        <w:top w:val="none" w:sz="0" w:space="0" w:color="auto"/>
        <w:left w:val="none" w:sz="0" w:space="0" w:color="auto"/>
        <w:bottom w:val="none" w:sz="0" w:space="0" w:color="auto"/>
        <w:right w:val="none" w:sz="0" w:space="0" w:color="auto"/>
      </w:divBdr>
    </w:div>
    <w:div w:id="813326901">
      <w:bodyDiv w:val="1"/>
      <w:marLeft w:val="0"/>
      <w:marRight w:val="0"/>
      <w:marTop w:val="0"/>
      <w:marBottom w:val="0"/>
      <w:divBdr>
        <w:top w:val="none" w:sz="0" w:space="0" w:color="auto"/>
        <w:left w:val="none" w:sz="0" w:space="0" w:color="auto"/>
        <w:bottom w:val="none" w:sz="0" w:space="0" w:color="auto"/>
        <w:right w:val="none" w:sz="0" w:space="0" w:color="auto"/>
      </w:divBdr>
    </w:div>
    <w:div w:id="849494382">
      <w:bodyDiv w:val="1"/>
      <w:marLeft w:val="0"/>
      <w:marRight w:val="0"/>
      <w:marTop w:val="0"/>
      <w:marBottom w:val="0"/>
      <w:divBdr>
        <w:top w:val="none" w:sz="0" w:space="0" w:color="auto"/>
        <w:left w:val="none" w:sz="0" w:space="0" w:color="auto"/>
        <w:bottom w:val="none" w:sz="0" w:space="0" w:color="auto"/>
        <w:right w:val="none" w:sz="0" w:space="0" w:color="auto"/>
      </w:divBdr>
    </w:div>
    <w:div w:id="932204066">
      <w:bodyDiv w:val="1"/>
      <w:marLeft w:val="0"/>
      <w:marRight w:val="0"/>
      <w:marTop w:val="0"/>
      <w:marBottom w:val="0"/>
      <w:divBdr>
        <w:top w:val="none" w:sz="0" w:space="0" w:color="auto"/>
        <w:left w:val="none" w:sz="0" w:space="0" w:color="auto"/>
        <w:bottom w:val="none" w:sz="0" w:space="0" w:color="auto"/>
        <w:right w:val="none" w:sz="0" w:space="0" w:color="auto"/>
      </w:divBdr>
    </w:div>
    <w:div w:id="943348346">
      <w:bodyDiv w:val="1"/>
      <w:marLeft w:val="0"/>
      <w:marRight w:val="0"/>
      <w:marTop w:val="0"/>
      <w:marBottom w:val="0"/>
      <w:divBdr>
        <w:top w:val="none" w:sz="0" w:space="0" w:color="auto"/>
        <w:left w:val="none" w:sz="0" w:space="0" w:color="auto"/>
        <w:bottom w:val="none" w:sz="0" w:space="0" w:color="auto"/>
        <w:right w:val="none" w:sz="0" w:space="0" w:color="auto"/>
      </w:divBdr>
    </w:div>
    <w:div w:id="974214590">
      <w:bodyDiv w:val="1"/>
      <w:marLeft w:val="0"/>
      <w:marRight w:val="0"/>
      <w:marTop w:val="0"/>
      <w:marBottom w:val="0"/>
      <w:divBdr>
        <w:top w:val="none" w:sz="0" w:space="0" w:color="auto"/>
        <w:left w:val="none" w:sz="0" w:space="0" w:color="auto"/>
        <w:bottom w:val="none" w:sz="0" w:space="0" w:color="auto"/>
        <w:right w:val="none" w:sz="0" w:space="0" w:color="auto"/>
      </w:divBdr>
    </w:div>
    <w:div w:id="1029985738">
      <w:bodyDiv w:val="1"/>
      <w:marLeft w:val="0"/>
      <w:marRight w:val="0"/>
      <w:marTop w:val="0"/>
      <w:marBottom w:val="0"/>
      <w:divBdr>
        <w:top w:val="none" w:sz="0" w:space="0" w:color="auto"/>
        <w:left w:val="none" w:sz="0" w:space="0" w:color="auto"/>
        <w:bottom w:val="none" w:sz="0" w:space="0" w:color="auto"/>
        <w:right w:val="none" w:sz="0" w:space="0" w:color="auto"/>
      </w:divBdr>
    </w:div>
    <w:div w:id="1254388896">
      <w:bodyDiv w:val="1"/>
      <w:marLeft w:val="0"/>
      <w:marRight w:val="0"/>
      <w:marTop w:val="0"/>
      <w:marBottom w:val="0"/>
      <w:divBdr>
        <w:top w:val="none" w:sz="0" w:space="0" w:color="auto"/>
        <w:left w:val="none" w:sz="0" w:space="0" w:color="auto"/>
        <w:bottom w:val="none" w:sz="0" w:space="0" w:color="auto"/>
        <w:right w:val="none" w:sz="0" w:space="0" w:color="auto"/>
      </w:divBdr>
    </w:div>
    <w:div w:id="1344818410">
      <w:bodyDiv w:val="1"/>
      <w:marLeft w:val="0"/>
      <w:marRight w:val="0"/>
      <w:marTop w:val="0"/>
      <w:marBottom w:val="0"/>
      <w:divBdr>
        <w:top w:val="none" w:sz="0" w:space="0" w:color="auto"/>
        <w:left w:val="none" w:sz="0" w:space="0" w:color="auto"/>
        <w:bottom w:val="none" w:sz="0" w:space="0" w:color="auto"/>
        <w:right w:val="none" w:sz="0" w:space="0" w:color="auto"/>
      </w:divBdr>
    </w:div>
    <w:div w:id="1420256594">
      <w:bodyDiv w:val="1"/>
      <w:marLeft w:val="0"/>
      <w:marRight w:val="0"/>
      <w:marTop w:val="0"/>
      <w:marBottom w:val="0"/>
      <w:divBdr>
        <w:top w:val="none" w:sz="0" w:space="0" w:color="auto"/>
        <w:left w:val="none" w:sz="0" w:space="0" w:color="auto"/>
        <w:bottom w:val="none" w:sz="0" w:space="0" w:color="auto"/>
        <w:right w:val="none" w:sz="0" w:space="0" w:color="auto"/>
      </w:divBdr>
    </w:div>
    <w:div w:id="1420365655">
      <w:bodyDiv w:val="1"/>
      <w:marLeft w:val="0"/>
      <w:marRight w:val="0"/>
      <w:marTop w:val="0"/>
      <w:marBottom w:val="0"/>
      <w:divBdr>
        <w:top w:val="none" w:sz="0" w:space="0" w:color="auto"/>
        <w:left w:val="none" w:sz="0" w:space="0" w:color="auto"/>
        <w:bottom w:val="none" w:sz="0" w:space="0" w:color="auto"/>
        <w:right w:val="none" w:sz="0" w:space="0" w:color="auto"/>
      </w:divBdr>
    </w:div>
    <w:div w:id="1426658003">
      <w:bodyDiv w:val="1"/>
      <w:marLeft w:val="0"/>
      <w:marRight w:val="0"/>
      <w:marTop w:val="0"/>
      <w:marBottom w:val="0"/>
      <w:divBdr>
        <w:top w:val="none" w:sz="0" w:space="0" w:color="auto"/>
        <w:left w:val="none" w:sz="0" w:space="0" w:color="auto"/>
        <w:bottom w:val="none" w:sz="0" w:space="0" w:color="auto"/>
        <w:right w:val="none" w:sz="0" w:space="0" w:color="auto"/>
      </w:divBdr>
    </w:div>
    <w:div w:id="1451170603">
      <w:bodyDiv w:val="1"/>
      <w:marLeft w:val="0"/>
      <w:marRight w:val="0"/>
      <w:marTop w:val="0"/>
      <w:marBottom w:val="0"/>
      <w:divBdr>
        <w:top w:val="none" w:sz="0" w:space="0" w:color="auto"/>
        <w:left w:val="none" w:sz="0" w:space="0" w:color="auto"/>
        <w:bottom w:val="none" w:sz="0" w:space="0" w:color="auto"/>
        <w:right w:val="none" w:sz="0" w:space="0" w:color="auto"/>
      </w:divBdr>
    </w:div>
    <w:div w:id="1547372542">
      <w:bodyDiv w:val="1"/>
      <w:marLeft w:val="0"/>
      <w:marRight w:val="0"/>
      <w:marTop w:val="0"/>
      <w:marBottom w:val="0"/>
      <w:divBdr>
        <w:top w:val="none" w:sz="0" w:space="0" w:color="auto"/>
        <w:left w:val="none" w:sz="0" w:space="0" w:color="auto"/>
        <w:bottom w:val="none" w:sz="0" w:space="0" w:color="auto"/>
        <w:right w:val="none" w:sz="0" w:space="0" w:color="auto"/>
      </w:divBdr>
    </w:div>
    <w:div w:id="1550653072">
      <w:bodyDiv w:val="1"/>
      <w:marLeft w:val="0"/>
      <w:marRight w:val="0"/>
      <w:marTop w:val="0"/>
      <w:marBottom w:val="0"/>
      <w:divBdr>
        <w:top w:val="none" w:sz="0" w:space="0" w:color="auto"/>
        <w:left w:val="none" w:sz="0" w:space="0" w:color="auto"/>
        <w:bottom w:val="none" w:sz="0" w:space="0" w:color="auto"/>
        <w:right w:val="none" w:sz="0" w:space="0" w:color="auto"/>
      </w:divBdr>
      <w:divsChild>
        <w:div w:id="73282319">
          <w:marLeft w:val="0"/>
          <w:marRight w:val="0"/>
          <w:marTop w:val="0"/>
          <w:marBottom w:val="0"/>
          <w:divBdr>
            <w:top w:val="single" w:sz="2" w:space="0" w:color="E3E3E3"/>
            <w:left w:val="single" w:sz="2" w:space="0" w:color="E3E3E3"/>
            <w:bottom w:val="single" w:sz="2" w:space="0" w:color="E3E3E3"/>
            <w:right w:val="single" w:sz="2" w:space="0" w:color="E3E3E3"/>
          </w:divBdr>
          <w:divsChild>
            <w:div w:id="1505853152">
              <w:marLeft w:val="0"/>
              <w:marRight w:val="0"/>
              <w:marTop w:val="0"/>
              <w:marBottom w:val="0"/>
              <w:divBdr>
                <w:top w:val="single" w:sz="2" w:space="0" w:color="E3E3E3"/>
                <w:left w:val="single" w:sz="2" w:space="0" w:color="E3E3E3"/>
                <w:bottom w:val="single" w:sz="2" w:space="0" w:color="E3E3E3"/>
                <w:right w:val="single" w:sz="2" w:space="0" w:color="E3E3E3"/>
              </w:divBdr>
              <w:divsChild>
                <w:div w:id="1435978676">
                  <w:marLeft w:val="0"/>
                  <w:marRight w:val="0"/>
                  <w:marTop w:val="0"/>
                  <w:marBottom w:val="0"/>
                  <w:divBdr>
                    <w:top w:val="single" w:sz="2" w:space="0" w:color="E3E3E3"/>
                    <w:left w:val="single" w:sz="2" w:space="0" w:color="E3E3E3"/>
                    <w:bottom w:val="single" w:sz="2" w:space="0" w:color="E3E3E3"/>
                    <w:right w:val="single" w:sz="2" w:space="0" w:color="E3E3E3"/>
                  </w:divBdr>
                  <w:divsChild>
                    <w:div w:id="1635675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05865793">
          <w:marLeft w:val="0"/>
          <w:marRight w:val="0"/>
          <w:marTop w:val="0"/>
          <w:marBottom w:val="0"/>
          <w:divBdr>
            <w:top w:val="single" w:sz="2" w:space="0" w:color="E3E3E3"/>
            <w:left w:val="single" w:sz="2" w:space="0" w:color="E3E3E3"/>
            <w:bottom w:val="single" w:sz="2" w:space="0" w:color="E3E3E3"/>
            <w:right w:val="single" w:sz="2" w:space="0" w:color="E3E3E3"/>
          </w:divBdr>
          <w:divsChild>
            <w:div w:id="1800954283">
              <w:marLeft w:val="0"/>
              <w:marRight w:val="0"/>
              <w:marTop w:val="0"/>
              <w:marBottom w:val="0"/>
              <w:divBdr>
                <w:top w:val="single" w:sz="2" w:space="0" w:color="E3E3E3"/>
                <w:left w:val="single" w:sz="2" w:space="0" w:color="E3E3E3"/>
                <w:bottom w:val="single" w:sz="2" w:space="0" w:color="E3E3E3"/>
                <w:right w:val="single" w:sz="2" w:space="0" w:color="E3E3E3"/>
              </w:divBdr>
              <w:divsChild>
                <w:div w:id="1213270153">
                  <w:marLeft w:val="0"/>
                  <w:marRight w:val="0"/>
                  <w:marTop w:val="0"/>
                  <w:marBottom w:val="0"/>
                  <w:divBdr>
                    <w:top w:val="single" w:sz="2" w:space="2" w:color="E3E3E3"/>
                    <w:left w:val="single" w:sz="2" w:space="0" w:color="E3E3E3"/>
                    <w:bottom w:val="single" w:sz="2" w:space="0" w:color="E3E3E3"/>
                    <w:right w:val="single" w:sz="2" w:space="0" w:color="E3E3E3"/>
                  </w:divBdr>
                  <w:divsChild>
                    <w:div w:id="901209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6709897">
      <w:bodyDiv w:val="1"/>
      <w:marLeft w:val="0"/>
      <w:marRight w:val="0"/>
      <w:marTop w:val="0"/>
      <w:marBottom w:val="0"/>
      <w:divBdr>
        <w:top w:val="none" w:sz="0" w:space="0" w:color="auto"/>
        <w:left w:val="none" w:sz="0" w:space="0" w:color="auto"/>
        <w:bottom w:val="none" w:sz="0" w:space="0" w:color="auto"/>
        <w:right w:val="none" w:sz="0" w:space="0" w:color="auto"/>
      </w:divBdr>
    </w:div>
    <w:div w:id="1986816783">
      <w:bodyDiv w:val="1"/>
      <w:marLeft w:val="0"/>
      <w:marRight w:val="0"/>
      <w:marTop w:val="0"/>
      <w:marBottom w:val="0"/>
      <w:divBdr>
        <w:top w:val="none" w:sz="0" w:space="0" w:color="auto"/>
        <w:left w:val="none" w:sz="0" w:space="0" w:color="auto"/>
        <w:bottom w:val="none" w:sz="0" w:space="0" w:color="auto"/>
        <w:right w:val="none" w:sz="0" w:space="0" w:color="auto"/>
      </w:divBdr>
    </w:div>
    <w:div w:id="2023824649">
      <w:bodyDiv w:val="1"/>
      <w:marLeft w:val="0"/>
      <w:marRight w:val="0"/>
      <w:marTop w:val="0"/>
      <w:marBottom w:val="0"/>
      <w:divBdr>
        <w:top w:val="none" w:sz="0" w:space="0" w:color="auto"/>
        <w:left w:val="none" w:sz="0" w:space="0" w:color="auto"/>
        <w:bottom w:val="none" w:sz="0" w:space="0" w:color="auto"/>
        <w:right w:val="none" w:sz="0" w:space="0" w:color="auto"/>
      </w:divBdr>
    </w:div>
    <w:div w:id="20383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rocurementet@undp.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iflethiopia.com/cohor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4C92C1208454EBB040761B69AA970" ma:contentTypeVersion="18" ma:contentTypeDescription="Create a new document." ma:contentTypeScope="" ma:versionID="978979ff0a57fd7ddd3f2fdb47786a0a">
  <xsd:schema xmlns:xsd="http://www.w3.org/2001/XMLSchema" xmlns:xs="http://www.w3.org/2001/XMLSchema" xmlns:p="http://schemas.microsoft.com/office/2006/metadata/properties" xmlns:ns2="2bdecd48-e6fa-422d-b547-9e8e1f5dc782" xmlns:ns3="da1e27e7-c160-4648-80cd-ed55065296db" targetNamespace="http://schemas.microsoft.com/office/2006/metadata/properties" ma:root="true" ma:fieldsID="03c07eb054cee607fcdc626b889a14be" ns2:_="" ns3:_="">
    <xsd:import namespace="2bdecd48-e6fa-422d-b547-9e8e1f5dc782"/>
    <xsd:import namespace="da1e27e7-c160-4648-80cd-ed55065296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ecd48-e6fa-422d-b547-9e8e1f5dc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e27e7-c160-4648-80cd-ed5506529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6a5fa9-5c46-428b-b4f4-57d296e870f4}" ma:internalName="TaxCatchAll" ma:showField="CatchAllData" ma:web="da1e27e7-c160-4648-80cd-ed5506529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decd48-e6fa-422d-b547-9e8e1f5dc782">
      <Terms xmlns="http://schemas.microsoft.com/office/infopath/2007/PartnerControls"/>
    </lcf76f155ced4ddcb4097134ff3c332f>
    <TaxCatchAll xmlns="da1e27e7-c160-4648-80cd-ed55065296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6C3D0-BD1A-45CD-852A-200D8554D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ecd48-e6fa-422d-b547-9e8e1f5dc782"/>
    <ds:schemaRef ds:uri="da1e27e7-c160-4648-80cd-ed550652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0C363-FD16-4602-A393-5183FE36C65D}">
  <ds:schemaRefs>
    <ds:schemaRef ds:uri="http://schemas.microsoft.com/office/2006/metadata/properties"/>
    <ds:schemaRef ds:uri="http://schemas.microsoft.com/office/infopath/2007/PartnerControls"/>
    <ds:schemaRef ds:uri="2bdecd48-e6fa-422d-b547-9e8e1f5dc782"/>
    <ds:schemaRef ds:uri="da1e27e7-c160-4648-80cd-ed55065296db"/>
  </ds:schemaRefs>
</ds:datastoreItem>
</file>

<file path=customXml/itemProps3.xml><?xml version="1.0" encoding="utf-8"?>
<ds:datastoreItem xmlns:ds="http://schemas.openxmlformats.org/officeDocument/2006/customXml" ds:itemID="{A17B773A-499A-4B03-A32D-DCCD95916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18</Pages>
  <Words>5752</Words>
  <Characters>32790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38466</CharactersWithSpaces>
  <SharedDoc>false</SharedDoc>
  <HLinks>
    <vt:vector size="12" baseType="variant">
      <vt:variant>
        <vt:i4>1048684</vt:i4>
      </vt:variant>
      <vt:variant>
        <vt:i4>3</vt:i4>
      </vt:variant>
      <vt:variant>
        <vt:i4>0</vt:i4>
      </vt:variant>
      <vt:variant>
        <vt:i4>5</vt:i4>
      </vt:variant>
      <vt:variant>
        <vt:lpwstr>mailto:info.procurementet@undp.org</vt:lpwstr>
      </vt:variant>
      <vt:variant>
        <vt:lpwstr/>
      </vt:variant>
      <vt:variant>
        <vt:i4>6684734</vt:i4>
      </vt:variant>
      <vt:variant>
        <vt:i4>0</vt:i4>
      </vt:variant>
      <vt:variant>
        <vt:i4>0</vt:i4>
      </vt:variant>
      <vt:variant>
        <vt:i4>5</vt:i4>
      </vt:variant>
      <vt:variant>
        <vt:lpwstr>https://iflethiopia.com/cohort/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Sisay Lelissa</dc:creator>
  <cp:keywords/>
  <dc:description/>
  <cp:lastModifiedBy>Obsitu Sufian</cp:lastModifiedBy>
  <cp:revision>159</cp:revision>
  <cp:lastPrinted>2024-05-20T21:54:00Z</cp:lastPrinted>
  <dcterms:created xsi:type="dcterms:W3CDTF">2024-05-18T07:48:00Z</dcterms:created>
  <dcterms:modified xsi:type="dcterms:W3CDTF">2024-05-21T09:19:00Z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0x0101006CA4C92C1208454EBB040761B69AA970</vt:lpwstr>
  </property>
  <property fmtid="{D5CDD505-2E9C-101B-9397-08002B2CF9AE}" pid="3" name="MediaServiceImageTags">
    <vt:lpwstr/>
  </property>
</Properties>
</file>